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97" w:rsidRDefault="00756A97" w:rsidP="002102A5">
      <w:pPr>
        <w:pStyle w:val="Body"/>
        <w:jc w:val="center"/>
        <w:rPr>
          <w:rFonts w:cs="Times New Roman"/>
          <w:sz w:val="24"/>
          <w:szCs w:val="24"/>
        </w:rPr>
      </w:pPr>
    </w:p>
    <w:p w:rsidR="00756A97" w:rsidRPr="00756A97" w:rsidRDefault="00756A97" w:rsidP="002102A5">
      <w:pPr>
        <w:pStyle w:val="Body"/>
        <w:jc w:val="center"/>
        <w:rPr>
          <w:rFonts w:cs="Times New Roman"/>
          <w:b/>
          <w:sz w:val="24"/>
          <w:szCs w:val="24"/>
          <w:u w:val="single"/>
        </w:rPr>
      </w:pPr>
      <w:r w:rsidRPr="00756A97">
        <w:rPr>
          <w:rFonts w:cs="Times New Roman"/>
          <w:b/>
          <w:sz w:val="32"/>
          <w:szCs w:val="24"/>
          <w:u w:val="single"/>
        </w:rPr>
        <w:t>MOOT PREPOSITION</w:t>
      </w:r>
    </w:p>
    <w:p w:rsidR="00756A97" w:rsidRDefault="00756A97"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r w:rsidRPr="00A01CD2">
        <w:rPr>
          <w:rFonts w:cs="Times New Roman"/>
          <w:sz w:val="24"/>
          <w:szCs w:val="24"/>
        </w:rPr>
        <w:t>Questions Relating to Sovereign Immunities, Reparations and Genocide.</w:t>
      </w:r>
    </w:p>
    <w:p w:rsidR="00A32772" w:rsidRPr="00A01CD2" w:rsidRDefault="00A32772" w:rsidP="002102A5">
      <w:pPr>
        <w:pStyle w:val="Body"/>
        <w:jc w:val="center"/>
        <w:rPr>
          <w:rFonts w:cs="Times New Roman"/>
          <w:sz w:val="24"/>
          <w:szCs w:val="24"/>
        </w:rPr>
      </w:pPr>
    </w:p>
    <w:p w:rsidR="002102A5" w:rsidRPr="00A01CD2" w:rsidRDefault="002102A5" w:rsidP="002102A5">
      <w:pPr>
        <w:pStyle w:val="Body"/>
        <w:jc w:val="center"/>
        <w:rPr>
          <w:rFonts w:cs="Times New Roman"/>
          <w:sz w:val="24"/>
          <w:szCs w:val="24"/>
        </w:rPr>
      </w:pPr>
      <w:r w:rsidRPr="00A01CD2">
        <w:rPr>
          <w:rFonts w:cs="Times New Roman"/>
          <w:sz w:val="24"/>
          <w:szCs w:val="24"/>
        </w:rPr>
        <w:t>(Eastonia v. Nordway)</w:t>
      </w:r>
    </w:p>
    <w:p w:rsidR="002102A5" w:rsidRPr="00A01CD2" w:rsidRDefault="002102A5" w:rsidP="002102A5">
      <w:pPr>
        <w:pStyle w:val="Body"/>
        <w:rPr>
          <w:rFonts w:cs="Times New Roman"/>
          <w:sz w:val="24"/>
          <w:szCs w:val="24"/>
        </w:rPr>
      </w:pPr>
    </w:p>
    <w:p w:rsidR="002102A5" w:rsidRPr="00FD27F8" w:rsidRDefault="002102A5" w:rsidP="002102A5">
      <w:pPr>
        <w:pStyle w:val="Body"/>
        <w:jc w:val="center"/>
        <w:rPr>
          <w:rFonts w:cs="Times New Roman"/>
          <w:b/>
          <w:bCs/>
          <w:sz w:val="24"/>
          <w:szCs w:val="24"/>
        </w:rPr>
      </w:pPr>
      <w:r w:rsidRPr="00524DE1">
        <w:rPr>
          <w:rFonts w:cs="Times New Roman"/>
          <w:b/>
          <w:bCs/>
          <w:sz w:val="24"/>
          <w:szCs w:val="24"/>
        </w:rPr>
        <w:t>RECORD</w:t>
      </w:r>
    </w:p>
    <w:p w:rsidR="002102A5" w:rsidRPr="00FD27F8" w:rsidRDefault="002102A5" w:rsidP="002102A5">
      <w:pPr>
        <w:pStyle w:val="Body"/>
        <w:jc w:val="center"/>
        <w:rPr>
          <w:rFonts w:cs="Times New Roman"/>
          <w:b/>
          <w:bCs/>
          <w:sz w:val="24"/>
          <w:szCs w:val="24"/>
        </w:rPr>
      </w:pPr>
      <w:r w:rsidRPr="00524DE1">
        <w:rPr>
          <w:rFonts w:cs="Times New Roman"/>
          <w:b/>
          <w:bCs/>
          <w:sz w:val="24"/>
          <w:szCs w:val="24"/>
        </w:rPr>
        <w:t>VS Mani</w:t>
      </w:r>
    </w:p>
    <w:p w:rsidR="002102A5" w:rsidRPr="00FD27F8" w:rsidRDefault="002102A5" w:rsidP="002102A5">
      <w:pPr>
        <w:pStyle w:val="Body"/>
        <w:jc w:val="center"/>
        <w:rPr>
          <w:rFonts w:cs="Times New Roman"/>
          <w:b/>
          <w:bCs/>
          <w:sz w:val="24"/>
          <w:szCs w:val="24"/>
        </w:rPr>
      </w:pPr>
      <w:r w:rsidRPr="00524DE1">
        <w:rPr>
          <w:rFonts w:cs="Times New Roman"/>
          <w:b/>
          <w:bCs/>
          <w:sz w:val="24"/>
          <w:szCs w:val="24"/>
        </w:rPr>
        <w:t>Moot Court Competition</w:t>
      </w:r>
    </w:p>
    <w:p w:rsidR="002102A5" w:rsidRPr="00FD27F8" w:rsidRDefault="002102A5" w:rsidP="002102A5">
      <w:pPr>
        <w:pStyle w:val="Body"/>
        <w:jc w:val="center"/>
        <w:rPr>
          <w:rFonts w:cs="Times New Roman"/>
          <w:b/>
          <w:bCs/>
          <w:sz w:val="24"/>
          <w:szCs w:val="24"/>
        </w:rPr>
      </w:pPr>
      <w:r w:rsidRPr="00524DE1">
        <w:rPr>
          <w:rFonts w:cs="Times New Roman"/>
          <w:b/>
          <w:bCs/>
          <w:sz w:val="24"/>
          <w:szCs w:val="24"/>
        </w:rPr>
        <w:t>2023–2024</w:t>
      </w:r>
    </w:p>
    <w:p w:rsidR="002102A5" w:rsidRDefault="002102A5" w:rsidP="002102A5">
      <w:pPr>
        <w:pStyle w:val="Body"/>
        <w:spacing w:line="360" w:lineRule="auto"/>
        <w:rPr>
          <w:rFonts w:cs="Times New Roman"/>
          <w:sz w:val="24"/>
          <w:szCs w:val="24"/>
        </w:rPr>
      </w:pPr>
    </w:p>
    <w:p w:rsidR="002102A5" w:rsidRDefault="002102A5" w:rsidP="002102A5">
      <w:pPr>
        <w:pStyle w:val="Body"/>
        <w:spacing w:line="360" w:lineRule="auto"/>
        <w:jc w:val="center"/>
        <w:rPr>
          <w:rFonts w:cs="Times New Roman"/>
          <w:sz w:val="24"/>
          <w:szCs w:val="24"/>
        </w:rPr>
      </w:pPr>
      <w:r w:rsidRPr="00A01CD2">
        <w:rPr>
          <w:rFonts w:cs="Times New Roman"/>
          <w:sz w:val="24"/>
          <w:szCs w:val="24"/>
        </w:rPr>
        <w:t>NOTIFICATION, DATED XX January 2024</w:t>
      </w:r>
      <w:r w:rsidRPr="00A01CD2">
        <w:rPr>
          <w:rFonts w:cs="Times New Roman"/>
          <w:sz w:val="24"/>
          <w:szCs w:val="24"/>
          <w:lang w:val="en-IN"/>
        </w:rPr>
        <w:t>, ADDRESSED TO</w:t>
      </w:r>
    </w:p>
    <w:p w:rsidR="002102A5" w:rsidRDefault="002102A5" w:rsidP="002102A5">
      <w:pPr>
        <w:pStyle w:val="Body"/>
        <w:spacing w:line="360" w:lineRule="auto"/>
        <w:jc w:val="center"/>
        <w:rPr>
          <w:rFonts w:cs="Times New Roman"/>
          <w:sz w:val="24"/>
          <w:szCs w:val="24"/>
        </w:rPr>
      </w:pPr>
      <w:r w:rsidRPr="00A01CD2">
        <w:rPr>
          <w:rFonts w:cs="Times New Roman"/>
          <w:sz w:val="24"/>
          <w:szCs w:val="24"/>
        </w:rPr>
        <w:t xml:space="preserve">THE MINISTER OF FOREIGN AFFAIRS OF </w:t>
      </w:r>
      <w:r>
        <w:rPr>
          <w:rFonts w:cs="Times New Roman"/>
          <w:sz w:val="24"/>
          <w:szCs w:val="24"/>
        </w:rPr>
        <w:t xml:space="preserve">THE REPUBLIC OF </w:t>
      </w:r>
      <w:r w:rsidRPr="00A01CD2">
        <w:rPr>
          <w:rFonts w:cs="Times New Roman"/>
          <w:sz w:val="24"/>
          <w:szCs w:val="24"/>
        </w:rPr>
        <w:t>EASTONIA</w:t>
      </w:r>
    </w:p>
    <w:p w:rsidR="002102A5" w:rsidRDefault="002102A5" w:rsidP="002102A5">
      <w:pPr>
        <w:pStyle w:val="Body"/>
        <w:spacing w:line="360" w:lineRule="auto"/>
        <w:jc w:val="center"/>
        <w:rPr>
          <w:rFonts w:cs="Times New Roman"/>
          <w:sz w:val="24"/>
          <w:szCs w:val="24"/>
        </w:rPr>
      </w:pPr>
      <w:r w:rsidRPr="00A01CD2">
        <w:rPr>
          <w:rFonts w:cs="Times New Roman"/>
          <w:sz w:val="24"/>
          <w:szCs w:val="24"/>
        </w:rPr>
        <w:t>AND</w:t>
      </w:r>
    </w:p>
    <w:p w:rsidR="002102A5" w:rsidRDefault="002102A5" w:rsidP="002102A5">
      <w:pPr>
        <w:pStyle w:val="Body"/>
        <w:spacing w:line="360" w:lineRule="auto"/>
        <w:jc w:val="center"/>
        <w:rPr>
          <w:rFonts w:cs="Times New Roman"/>
          <w:sz w:val="24"/>
          <w:szCs w:val="24"/>
        </w:rPr>
      </w:pPr>
      <w:r w:rsidRPr="00A01CD2">
        <w:rPr>
          <w:rFonts w:cs="Times New Roman"/>
          <w:sz w:val="24"/>
          <w:szCs w:val="24"/>
        </w:rPr>
        <w:t xml:space="preserve">THE MINISTER OF FOREIGN AFFAIRS OF </w:t>
      </w:r>
      <w:r>
        <w:rPr>
          <w:rFonts w:cs="Times New Roman"/>
          <w:sz w:val="24"/>
          <w:szCs w:val="24"/>
        </w:rPr>
        <w:t xml:space="preserve">THE REPUBLIC OF </w:t>
      </w:r>
      <w:r w:rsidRPr="00A01CD2">
        <w:rPr>
          <w:rFonts w:cs="Times New Roman"/>
          <w:sz w:val="24"/>
          <w:szCs w:val="24"/>
        </w:rPr>
        <w:t>NORDWAY</w:t>
      </w:r>
    </w:p>
    <w:p w:rsidR="002102A5" w:rsidRDefault="002102A5" w:rsidP="002102A5">
      <w:pPr>
        <w:pStyle w:val="Body"/>
        <w:spacing w:line="360" w:lineRule="auto"/>
        <w:jc w:val="center"/>
        <w:rPr>
          <w:rFonts w:cs="Times New Roman"/>
          <w:sz w:val="24"/>
          <w:szCs w:val="24"/>
        </w:rPr>
      </w:pPr>
      <w:r w:rsidRPr="00A01CD2">
        <w:rPr>
          <w:rFonts w:cs="Times New Roman"/>
          <w:sz w:val="24"/>
          <w:szCs w:val="24"/>
        </w:rPr>
        <w:t>The Hague, XX January 2024</w:t>
      </w:r>
    </w:p>
    <w:p w:rsidR="002102A5" w:rsidRDefault="002102A5" w:rsidP="002102A5">
      <w:pPr>
        <w:pStyle w:val="Body"/>
        <w:spacing w:line="360" w:lineRule="auto"/>
        <w:rPr>
          <w:rFonts w:cs="Times New Roman"/>
          <w:sz w:val="24"/>
          <w:szCs w:val="24"/>
        </w:rPr>
      </w:pPr>
    </w:p>
    <w:p w:rsidR="002102A5" w:rsidRDefault="002102A5" w:rsidP="002102A5">
      <w:pPr>
        <w:pStyle w:val="Body"/>
        <w:spacing w:line="360" w:lineRule="auto"/>
        <w:jc w:val="both"/>
        <w:rPr>
          <w:rFonts w:cs="Times New Roman"/>
          <w:sz w:val="24"/>
          <w:szCs w:val="24"/>
        </w:rPr>
      </w:pPr>
      <w:r w:rsidRPr="00A01CD2">
        <w:rPr>
          <w:rFonts w:cs="Times New Roman"/>
          <w:sz w:val="24"/>
          <w:szCs w:val="24"/>
        </w:rPr>
        <w:t>On behalf of the International Court of Justice, and in accordance with Article 26 of the Rules of Court, I have the honor to acknowledge receipt of the joint notification dated 18 January 2024. I have the further honor to inform you that the case of Questions Relating to Sovereign Immunities and Reparations for Human Rights Violations (Eastonia v. Nordway) has been entered as 2024 General List No. 042. The written proceedings shall consist of memorials to be submitted to the Court by XX ?????????? 2024. Oral proceedings are scheduled for XX ?????????? 2024.</w:t>
      </w:r>
    </w:p>
    <w:p w:rsidR="002102A5" w:rsidRDefault="002102A5" w:rsidP="002102A5">
      <w:pPr>
        <w:pStyle w:val="Body"/>
        <w:spacing w:line="360" w:lineRule="auto"/>
        <w:rPr>
          <w:rFonts w:cs="Times New Roman"/>
          <w:sz w:val="24"/>
          <w:szCs w:val="24"/>
        </w:rPr>
      </w:pPr>
    </w:p>
    <w:p w:rsidR="002102A5" w:rsidRDefault="002102A5" w:rsidP="002102A5">
      <w:pPr>
        <w:pStyle w:val="Body"/>
        <w:spacing w:line="360" w:lineRule="auto"/>
        <w:rPr>
          <w:rFonts w:cs="Times New Roman"/>
          <w:sz w:val="24"/>
          <w:szCs w:val="24"/>
        </w:rPr>
      </w:pPr>
      <w:r w:rsidRPr="00A01CD2">
        <w:rPr>
          <w:rFonts w:cs="Times New Roman"/>
          <w:sz w:val="24"/>
          <w:szCs w:val="24"/>
          <w:u w:val="single"/>
        </w:rPr>
        <w:t>/s/</w:t>
      </w:r>
      <w:r w:rsidRPr="00A01CD2">
        <w:rPr>
          <w:rFonts w:cs="Times New Roman"/>
          <w:sz w:val="24"/>
          <w:szCs w:val="24"/>
        </w:rPr>
        <w:t>_______________________</w:t>
      </w:r>
    </w:p>
    <w:p w:rsidR="002102A5" w:rsidRDefault="002102A5" w:rsidP="002102A5">
      <w:pPr>
        <w:pStyle w:val="Body"/>
        <w:spacing w:line="360" w:lineRule="auto"/>
        <w:rPr>
          <w:rFonts w:cs="Times New Roman"/>
          <w:sz w:val="24"/>
          <w:szCs w:val="24"/>
        </w:rPr>
      </w:pPr>
      <w:r w:rsidRPr="00A01CD2">
        <w:rPr>
          <w:rFonts w:cs="Times New Roman"/>
          <w:sz w:val="24"/>
          <w:szCs w:val="24"/>
          <w:lang w:val="it-IT"/>
        </w:rPr>
        <w:t>Registrar</w:t>
      </w:r>
    </w:p>
    <w:p w:rsidR="002102A5" w:rsidRDefault="002102A5" w:rsidP="002102A5">
      <w:pPr>
        <w:pStyle w:val="Body"/>
        <w:spacing w:line="360" w:lineRule="auto"/>
        <w:rPr>
          <w:rFonts w:cs="Times New Roman"/>
          <w:sz w:val="24"/>
          <w:szCs w:val="24"/>
        </w:rPr>
      </w:pPr>
      <w:r w:rsidRPr="00A01CD2">
        <w:rPr>
          <w:rFonts w:cs="Times New Roman"/>
          <w:sz w:val="24"/>
          <w:szCs w:val="24"/>
        </w:rPr>
        <w:t>International Court of Justice</w:t>
      </w:r>
    </w:p>
    <w:p w:rsidR="002102A5" w:rsidRDefault="002102A5" w:rsidP="002102A5">
      <w:pPr>
        <w:pStyle w:val="Body"/>
        <w:spacing w:line="360" w:lineRule="auto"/>
        <w:rPr>
          <w:rFonts w:cs="Times New Roman"/>
          <w:sz w:val="24"/>
          <w:szCs w:val="24"/>
        </w:rPr>
      </w:pPr>
    </w:p>
    <w:p w:rsidR="002102A5" w:rsidRDefault="002102A5" w:rsidP="002102A5">
      <w:pPr>
        <w:spacing w:line="360" w:lineRule="auto"/>
        <w:rPr>
          <w:color w:val="000000"/>
          <w:u w:color="000000"/>
          <w:lang w:eastAsia="en-GB"/>
        </w:rPr>
      </w:pPr>
      <w:r w:rsidRPr="00A01CD2">
        <w:br w:type="page"/>
      </w:r>
    </w:p>
    <w:p w:rsidR="002102A5" w:rsidRPr="00A01CD2" w:rsidRDefault="002102A5" w:rsidP="002102A5">
      <w:pPr>
        <w:pStyle w:val="Body"/>
        <w:rPr>
          <w:rFonts w:cs="Times New Roman"/>
          <w:sz w:val="24"/>
          <w:szCs w:val="24"/>
        </w:rPr>
      </w:pPr>
      <w:r w:rsidRPr="00A01CD2">
        <w:rPr>
          <w:rFonts w:cs="Times New Roman"/>
          <w:sz w:val="24"/>
          <w:szCs w:val="24"/>
        </w:rPr>
        <w:lastRenderedPageBreak/>
        <w:t>----------------------------------------------------------------------------------------------------------------</w:t>
      </w:r>
    </w:p>
    <w:p w:rsidR="002102A5" w:rsidRDefault="002102A5" w:rsidP="002102A5">
      <w:pPr>
        <w:pStyle w:val="Body"/>
        <w:spacing w:line="360" w:lineRule="auto"/>
        <w:jc w:val="center"/>
        <w:rPr>
          <w:rFonts w:cs="Times New Roman"/>
          <w:sz w:val="24"/>
          <w:szCs w:val="24"/>
        </w:rPr>
      </w:pPr>
      <w:r w:rsidRPr="00A01CD2">
        <w:rPr>
          <w:rFonts w:cs="Times New Roman"/>
          <w:sz w:val="24"/>
          <w:szCs w:val="24"/>
        </w:rPr>
        <w:t>JOINT NOTIFICATION, DATED XX January 2024</w:t>
      </w:r>
      <w:r w:rsidRPr="00A01CD2">
        <w:rPr>
          <w:rFonts w:cs="Times New Roman"/>
          <w:sz w:val="24"/>
          <w:szCs w:val="24"/>
          <w:lang w:val="en-IN"/>
        </w:rPr>
        <w:t>, ADDRESSED TO</w:t>
      </w:r>
    </w:p>
    <w:p w:rsidR="002102A5" w:rsidRDefault="002102A5" w:rsidP="002102A5">
      <w:pPr>
        <w:pStyle w:val="Body"/>
        <w:spacing w:line="360" w:lineRule="auto"/>
        <w:jc w:val="center"/>
        <w:rPr>
          <w:rFonts w:cs="Times New Roman"/>
          <w:sz w:val="24"/>
          <w:szCs w:val="24"/>
        </w:rPr>
      </w:pPr>
      <w:r w:rsidRPr="00A01CD2">
        <w:rPr>
          <w:rFonts w:cs="Times New Roman"/>
          <w:sz w:val="24"/>
          <w:szCs w:val="24"/>
        </w:rPr>
        <w:t>THE REGISTRAR OF THE COURT</w:t>
      </w:r>
    </w:p>
    <w:p w:rsidR="002102A5" w:rsidRDefault="002102A5" w:rsidP="002102A5">
      <w:pPr>
        <w:pStyle w:val="Body"/>
        <w:spacing w:line="360" w:lineRule="auto"/>
        <w:jc w:val="center"/>
        <w:rPr>
          <w:rFonts w:cs="Times New Roman"/>
          <w:sz w:val="24"/>
          <w:szCs w:val="24"/>
        </w:rPr>
      </w:pPr>
    </w:p>
    <w:p w:rsidR="002102A5" w:rsidRDefault="002102A5" w:rsidP="002102A5">
      <w:pPr>
        <w:pStyle w:val="Body"/>
        <w:spacing w:line="360" w:lineRule="auto"/>
        <w:rPr>
          <w:rFonts w:cs="Times New Roman"/>
          <w:sz w:val="24"/>
          <w:szCs w:val="24"/>
        </w:rPr>
      </w:pPr>
      <w:r w:rsidRPr="00A01CD2">
        <w:rPr>
          <w:rFonts w:cs="Times New Roman"/>
          <w:sz w:val="24"/>
          <w:szCs w:val="24"/>
        </w:rPr>
        <w:t>The Hague, XX January 2024.</w:t>
      </w:r>
    </w:p>
    <w:p w:rsidR="002102A5" w:rsidRDefault="002102A5" w:rsidP="002102A5">
      <w:pPr>
        <w:pStyle w:val="Body"/>
        <w:spacing w:line="360" w:lineRule="auto"/>
        <w:rPr>
          <w:rFonts w:cs="Times New Roman"/>
          <w:sz w:val="24"/>
          <w:szCs w:val="24"/>
        </w:rPr>
      </w:pPr>
    </w:p>
    <w:p w:rsidR="002102A5" w:rsidRDefault="002102A5" w:rsidP="002102A5">
      <w:pPr>
        <w:pStyle w:val="Body"/>
        <w:spacing w:line="360" w:lineRule="auto"/>
        <w:jc w:val="both"/>
        <w:rPr>
          <w:rFonts w:cs="Times New Roman"/>
          <w:sz w:val="24"/>
          <w:szCs w:val="24"/>
        </w:rPr>
      </w:pPr>
      <w:r w:rsidRPr="00A01CD2">
        <w:rPr>
          <w:rFonts w:cs="Times New Roman"/>
          <w:sz w:val="24"/>
          <w:szCs w:val="24"/>
        </w:rPr>
        <w:t xml:space="preserve">On behalf of </w:t>
      </w:r>
      <w:r>
        <w:rPr>
          <w:rFonts w:cs="Times New Roman"/>
          <w:sz w:val="24"/>
          <w:szCs w:val="24"/>
        </w:rPr>
        <w:t xml:space="preserve">the Republic of </w:t>
      </w:r>
      <w:r w:rsidRPr="00A01CD2">
        <w:rPr>
          <w:rFonts w:cs="Times New Roman"/>
          <w:sz w:val="24"/>
          <w:szCs w:val="24"/>
        </w:rPr>
        <w:t xml:space="preserve">Eastonia and </w:t>
      </w:r>
      <w:r>
        <w:rPr>
          <w:rFonts w:cs="Times New Roman"/>
          <w:sz w:val="24"/>
          <w:szCs w:val="24"/>
        </w:rPr>
        <w:t xml:space="preserve">the Republic of </w:t>
      </w:r>
      <w:r w:rsidRPr="00A01CD2">
        <w:rPr>
          <w:rFonts w:cs="Times New Roman"/>
          <w:sz w:val="24"/>
          <w:szCs w:val="24"/>
        </w:rPr>
        <w:t xml:space="preserve">Nordway, and in accordance with Article 40, paragraph 1 of the Statute of the International Court of Justice, Article 27 of the </w:t>
      </w:r>
      <w:r w:rsidRPr="00524DE1">
        <w:rPr>
          <w:rFonts w:cs="Times New Roman"/>
          <w:i/>
          <w:iCs/>
          <w:sz w:val="24"/>
          <w:szCs w:val="24"/>
        </w:rPr>
        <w:t>United Nations Convention on Jurisdictional Immunities of States and Their Property</w:t>
      </w:r>
      <w:r w:rsidRPr="00A01CD2">
        <w:rPr>
          <w:rFonts w:cs="Times New Roman"/>
          <w:sz w:val="24"/>
          <w:szCs w:val="24"/>
        </w:rPr>
        <w:t>, and Article IX of the Convention on the Prevention and Punishment of the Crime of Genocide</w:t>
      </w:r>
      <w:r>
        <w:rPr>
          <w:rFonts w:cs="Times New Roman"/>
          <w:sz w:val="24"/>
          <w:szCs w:val="24"/>
        </w:rPr>
        <w:t>,</w:t>
      </w:r>
      <w:r w:rsidRPr="00A01CD2">
        <w:rPr>
          <w:rFonts w:cs="Times New Roman"/>
          <w:sz w:val="24"/>
          <w:szCs w:val="24"/>
        </w:rPr>
        <w:t xml:space="preserve">we have the honor to transmit to you an original copy of the </w:t>
      </w:r>
      <w:r>
        <w:rPr>
          <w:rFonts w:cs="Times New Roman"/>
          <w:sz w:val="24"/>
          <w:szCs w:val="24"/>
        </w:rPr>
        <w:t>E</w:t>
      </w:r>
      <w:r w:rsidRPr="00A01CD2">
        <w:rPr>
          <w:rFonts w:cs="Times New Roman"/>
          <w:sz w:val="24"/>
          <w:szCs w:val="24"/>
        </w:rPr>
        <w:t>nglish texts of the</w:t>
      </w:r>
      <w:r>
        <w:rPr>
          <w:rFonts w:cs="Times New Roman"/>
          <w:sz w:val="24"/>
          <w:szCs w:val="24"/>
        </w:rPr>
        <w:t xml:space="preserve"> a</w:t>
      </w:r>
      <w:r w:rsidRPr="00A01CD2">
        <w:rPr>
          <w:rFonts w:cs="Times New Roman"/>
          <w:sz w:val="24"/>
          <w:szCs w:val="24"/>
        </w:rPr>
        <w:t xml:space="preserve">greement </w:t>
      </w:r>
      <w:r>
        <w:rPr>
          <w:rFonts w:cs="Times New Roman"/>
          <w:sz w:val="24"/>
          <w:szCs w:val="24"/>
        </w:rPr>
        <w:t>B</w:t>
      </w:r>
      <w:r w:rsidRPr="00A01CD2">
        <w:rPr>
          <w:rFonts w:cs="Times New Roman"/>
          <w:sz w:val="24"/>
          <w:szCs w:val="24"/>
        </w:rPr>
        <w:t xml:space="preserve">etween Eastonia and Nordway for </w:t>
      </w:r>
      <w:r>
        <w:rPr>
          <w:rFonts w:cs="Times New Roman"/>
          <w:sz w:val="24"/>
          <w:szCs w:val="24"/>
        </w:rPr>
        <w:t>S</w:t>
      </w:r>
      <w:r w:rsidRPr="00A01CD2">
        <w:rPr>
          <w:rFonts w:cs="Times New Roman"/>
          <w:sz w:val="24"/>
          <w:szCs w:val="24"/>
        </w:rPr>
        <w:t xml:space="preserve">ubmission of </w:t>
      </w:r>
      <w:r>
        <w:rPr>
          <w:rFonts w:cs="Times New Roman"/>
          <w:sz w:val="24"/>
          <w:szCs w:val="24"/>
        </w:rPr>
        <w:t>d</w:t>
      </w:r>
      <w:r w:rsidRPr="00A01CD2">
        <w:rPr>
          <w:rFonts w:cs="Times New Roman"/>
          <w:sz w:val="24"/>
          <w:szCs w:val="24"/>
        </w:rPr>
        <w:t xml:space="preserve">ifferences </w:t>
      </w:r>
      <w:r>
        <w:rPr>
          <w:rFonts w:cs="Times New Roman"/>
          <w:sz w:val="24"/>
          <w:szCs w:val="24"/>
        </w:rPr>
        <w:t>b</w:t>
      </w:r>
      <w:r w:rsidRPr="00A01CD2">
        <w:rPr>
          <w:rFonts w:cs="Times New Roman"/>
          <w:sz w:val="24"/>
          <w:szCs w:val="24"/>
        </w:rPr>
        <w:t xml:space="preserve">etween </w:t>
      </w:r>
      <w:r>
        <w:rPr>
          <w:rFonts w:cs="Times New Roman"/>
          <w:sz w:val="24"/>
          <w:szCs w:val="24"/>
        </w:rPr>
        <w:t>t</w:t>
      </w:r>
      <w:r w:rsidRPr="00A01CD2">
        <w:rPr>
          <w:rFonts w:cs="Times New Roman"/>
          <w:sz w:val="24"/>
          <w:szCs w:val="24"/>
        </w:rPr>
        <w:t xml:space="preserve">hem </w:t>
      </w:r>
      <w:r>
        <w:rPr>
          <w:rFonts w:cs="Times New Roman"/>
          <w:sz w:val="24"/>
          <w:szCs w:val="24"/>
        </w:rPr>
        <w:t xml:space="preserve">before the </w:t>
      </w:r>
      <w:r w:rsidRPr="00A01CD2">
        <w:rPr>
          <w:rFonts w:cs="Times New Roman"/>
          <w:sz w:val="24"/>
          <w:szCs w:val="24"/>
        </w:rPr>
        <w:t xml:space="preserve">International Court of Justice </w:t>
      </w:r>
      <w:r>
        <w:rPr>
          <w:rFonts w:cs="Times New Roman"/>
          <w:sz w:val="24"/>
          <w:szCs w:val="24"/>
        </w:rPr>
        <w:t>c</w:t>
      </w:r>
      <w:r w:rsidRPr="00A01CD2">
        <w:rPr>
          <w:rFonts w:cs="Times New Roman"/>
          <w:sz w:val="24"/>
          <w:szCs w:val="24"/>
        </w:rPr>
        <w:t xml:space="preserve">oncerning </w:t>
      </w:r>
      <w:r>
        <w:rPr>
          <w:rFonts w:cs="Times New Roman"/>
          <w:sz w:val="24"/>
          <w:szCs w:val="24"/>
        </w:rPr>
        <w:t>q</w:t>
      </w:r>
      <w:r w:rsidRPr="00A01CD2">
        <w:rPr>
          <w:rFonts w:cs="Times New Roman"/>
          <w:sz w:val="24"/>
          <w:szCs w:val="24"/>
        </w:rPr>
        <w:t xml:space="preserve">uestions </w:t>
      </w:r>
      <w:r>
        <w:rPr>
          <w:rFonts w:cs="Times New Roman"/>
          <w:sz w:val="24"/>
          <w:szCs w:val="24"/>
        </w:rPr>
        <w:t>r</w:t>
      </w:r>
      <w:r w:rsidRPr="00A01CD2">
        <w:rPr>
          <w:rFonts w:cs="Times New Roman"/>
          <w:sz w:val="24"/>
          <w:szCs w:val="24"/>
        </w:rPr>
        <w:t>elating to Sovereign Immunities, Reparations and Genocide, signed at Zurich, Switzerland, on 18 January 2024.</w:t>
      </w:r>
    </w:p>
    <w:p w:rsidR="002102A5" w:rsidRDefault="002102A5" w:rsidP="002102A5">
      <w:pPr>
        <w:pStyle w:val="Body"/>
        <w:spacing w:line="360" w:lineRule="auto"/>
        <w:rPr>
          <w:rFonts w:cs="Times New Roman"/>
          <w:sz w:val="24"/>
          <w:szCs w:val="24"/>
        </w:rPr>
      </w:pPr>
    </w:p>
    <w:p w:rsidR="002102A5" w:rsidRDefault="002102A5" w:rsidP="002102A5">
      <w:pPr>
        <w:pStyle w:val="Body"/>
        <w:spacing w:line="360" w:lineRule="auto"/>
        <w:rPr>
          <w:rFonts w:cs="Times New Roman"/>
          <w:sz w:val="24"/>
          <w:szCs w:val="24"/>
        </w:rPr>
      </w:pPr>
      <w:r w:rsidRPr="00A01CD2">
        <w:rPr>
          <w:rFonts w:cs="Times New Roman"/>
          <w:sz w:val="24"/>
          <w:szCs w:val="24"/>
        </w:rPr>
        <w:t xml:space="preserve">For </w:t>
      </w:r>
      <w:r>
        <w:rPr>
          <w:rFonts w:cs="Times New Roman"/>
          <w:sz w:val="24"/>
          <w:szCs w:val="24"/>
        </w:rPr>
        <w:t xml:space="preserve">the Republic of  </w:t>
      </w:r>
      <w:r w:rsidRPr="00A01CD2">
        <w:rPr>
          <w:rFonts w:cs="Times New Roman"/>
          <w:sz w:val="24"/>
          <w:szCs w:val="24"/>
        </w:rPr>
        <w:t>Eastonia:</w:t>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t xml:space="preserve">For </w:t>
      </w:r>
      <w:r>
        <w:rPr>
          <w:rFonts w:cs="Times New Roman"/>
          <w:sz w:val="24"/>
          <w:szCs w:val="24"/>
        </w:rPr>
        <w:t xml:space="preserve">the Republic of  </w:t>
      </w:r>
      <w:r w:rsidRPr="00A01CD2">
        <w:rPr>
          <w:rFonts w:cs="Times New Roman"/>
          <w:sz w:val="24"/>
          <w:szCs w:val="24"/>
        </w:rPr>
        <w:t>Nordway:</w:t>
      </w:r>
    </w:p>
    <w:p w:rsidR="002102A5" w:rsidRDefault="002102A5" w:rsidP="002102A5">
      <w:pPr>
        <w:pStyle w:val="Body"/>
        <w:spacing w:line="360" w:lineRule="auto"/>
        <w:rPr>
          <w:rFonts w:cs="Times New Roman"/>
          <w:sz w:val="24"/>
          <w:szCs w:val="24"/>
        </w:rPr>
      </w:pP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u w:val="single"/>
        </w:rPr>
        <w:t>/s/</w:t>
      </w:r>
      <w:r w:rsidRPr="00A01CD2">
        <w:rPr>
          <w:rFonts w:cs="Times New Roman"/>
          <w:sz w:val="24"/>
          <w:szCs w:val="24"/>
        </w:rPr>
        <w:t>_______________________</w:t>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u w:val="single"/>
        </w:rPr>
        <w:t>/s/</w:t>
      </w:r>
      <w:r w:rsidRPr="00A01CD2">
        <w:rPr>
          <w:rFonts w:cs="Times New Roman"/>
          <w:sz w:val="24"/>
          <w:szCs w:val="24"/>
        </w:rPr>
        <w:t>_____________________</w:t>
      </w:r>
    </w:p>
    <w:p w:rsidR="002102A5" w:rsidRDefault="002102A5" w:rsidP="002102A5">
      <w:pPr>
        <w:pStyle w:val="Body"/>
        <w:spacing w:line="360" w:lineRule="auto"/>
        <w:rPr>
          <w:rFonts w:cs="Times New Roman"/>
          <w:sz w:val="24"/>
          <w:szCs w:val="24"/>
          <w:lang w:val="fr-FR"/>
        </w:rPr>
      </w:pPr>
      <w:r w:rsidRPr="00A01CD2">
        <w:rPr>
          <w:rFonts w:cs="Times New Roman"/>
          <w:sz w:val="24"/>
          <w:szCs w:val="24"/>
          <w:lang w:val="fr-FR"/>
        </w:rPr>
        <w:t xml:space="preserve">T.W. Courvoisier </w:t>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t>D.S. Planck</w:t>
      </w:r>
    </w:p>
    <w:p w:rsidR="002102A5" w:rsidRDefault="002102A5" w:rsidP="002102A5">
      <w:pPr>
        <w:pStyle w:val="Body"/>
        <w:spacing w:line="360" w:lineRule="auto"/>
        <w:rPr>
          <w:rFonts w:cs="Times New Roman"/>
          <w:sz w:val="24"/>
          <w:szCs w:val="24"/>
        </w:rPr>
      </w:pPr>
      <w:r w:rsidRPr="00A01CD2">
        <w:rPr>
          <w:rFonts w:cs="Times New Roman"/>
          <w:sz w:val="24"/>
          <w:szCs w:val="24"/>
        </w:rPr>
        <w:t xml:space="preserve">Minister of Foreign Affairs </w:t>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t>Minister of Foreign Affairs</w:t>
      </w:r>
    </w:p>
    <w:p w:rsidR="002102A5" w:rsidRDefault="002102A5" w:rsidP="002102A5">
      <w:pPr>
        <w:pStyle w:val="Body"/>
        <w:spacing w:line="360" w:lineRule="auto"/>
        <w:jc w:val="center"/>
        <w:rPr>
          <w:rFonts w:cs="Times New Roman"/>
          <w:sz w:val="24"/>
          <w:szCs w:val="24"/>
        </w:rPr>
      </w:pPr>
    </w:p>
    <w:p w:rsidR="002102A5" w:rsidRPr="00A01CD2"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Default="002102A5" w:rsidP="002102A5">
      <w:pPr>
        <w:pStyle w:val="Body"/>
        <w:jc w:val="center"/>
        <w:rPr>
          <w:rFonts w:cs="Times New Roman"/>
          <w:sz w:val="24"/>
          <w:szCs w:val="24"/>
        </w:rPr>
      </w:pPr>
    </w:p>
    <w:p w:rsidR="002102A5" w:rsidRPr="00A01CD2" w:rsidRDefault="002102A5" w:rsidP="002102A5">
      <w:pPr>
        <w:pStyle w:val="Body"/>
        <w:jc w:val="center"/>
        <w:rPr>
          <w:rFonts w:cs="Times New Roman"/>
          <w:sz w:val="24"/>
          <w:szCs w:val="24"/>
        </w:rPr>
      </w:pPr>
      <w:r w:rsidRPr="00A01CD2">
        <w:rPr>
          <w:rFonts w:cs="Times New Roman"/>
          <w:sz w:val="24"/>
          <w:szCs w:val="24"/>
        </w:rPr>
        <w:t>AGREEMENT</w:t>
      </w:r>
    </w:p>
    <w:p w:rsidR="002102A5" w:rsidRPr="00A01CD2" w:rsidRDefault="002102A5" w:rsidP="002102A5">
      <w:pPr>
        <w:pStyle w:val="Body"/>
        <w:jc w:val="center"/>
        <w:rPr>
          <w:rFonts w:cs="Times New Roman"/>
          <w:sz w:val="24"/>
          <w:szCs w:val="24"/>
        </w:rPr>
      </w:pPr>
      <w:r w:rsidRPr="00A01CD2">
        <w:rPr>
          <w:rFonts w:cs="Times New Roman"/>
          <w:sz w:val="24"/>
          <w:szCs w:val="24"/>
        </w:rPr>
        <w:t>BETWEEN</w:t>
      </w:r>
    </w:p>
    <w:p w:rsidR="002102A5" w:rsidRPr="00FD27F8" w:rsidRDefault="002102A5" w:rsidP="002102A5">
      <w:pPr>
        <w:pStyle w:val="Body"/>
        <w:jc w:val="center"/>
        <w:rPr>
          <w:rFonts w:cs="Times New Roman"/>
          <w:b/>
          <w:bCs/>
          <w:sz w:val="24"/>
          <w:szCs w:val="24"/>
        </w:rPr>
      </w:pPr>
      <w:r w:rsidRPr="00524DE1">
        <w:rPr>
          <w:rFonts w:cs="Times New Roman"/>
          <w:b/>
          <w:bCs/>
          <w:sz w:val="24"/>
          <w:szCs w:val="24"/>
        </w:rPr>
        <w:t>THE REPUBLIC OF EASTONIA</w:t>
      </w:r>
    </w:p>
    <w:p w:rsidR="002102A5" w:rsidRPr="00A01CD2" w:rsidRDefault="002102A5" w:rsidP="002102A5">
      <w:pPr>
        <w:pStyle w:val="Body"/>
        <w:jc w:val="center"/>
        <w:rPr>
          <w:rFonts w:cs="Times New Roman"/>
          <w:sz w:val="24"/>
          <w:szCs w:val="24"/>
        </w:rPr>
      </w:pPr>
      <w:r w:rsidRPr="00A01CD2">
        <w:rPr>
          <w:rFonts w:cs="Times New Roman"/>
          <w:sz w:val="24"/>
          <w:szCs w:val="24"/>
        </w:rPr>
        <w:t>AND</w:t>
      </w:r>
    </w:p>
    <w:p w:rsidR="002102A5" w:rsidRPr="00FD27F8" w:rsidRDefault="002102A5" w:rsidP="002102A5">
      <w:pPr>
        <w:pStyle w:val="Body"/>
        <w:jc w:val="center"/>
        <w:rPr>
          <w:rFonts w:cs="Times New Roman"/>
          <w:b/>
          <w:bCs/>
          <w:sz w:val="24"/>
          <w:szCs w:val="24"/>
        </w:rPr>
      </w:pPr>
      <w:r w:rsidRPr="00524DE1">
        <w:rPr>
          <w:rFonts w:cs="Times New Roman"/>
          <w:b/>
          <w:bCs/>
          <w:sz w:val="24"/>
          <w:szCs w:val="24"/>
        </w:rPr>
        <w:t>THE REPUBLIC OF NORDWAY</w:t>
      </w:r>
    </w:p>
    <w:p w:rsidR="002102A5" w:rsidRPr="00FD27F8" w:rsidRDefault="002102A5" w:rsidP="002102A5">
      <w:pPr>
        <w:pStyle w:val="Body"/>
        <w:jc w:val="center"/>
        <w:rPr>
          <w:rFonts w:cs="Times New Roman"/>
          <w:b/>
          <w:bCs/>
          <w:sz w:val="24"/>
          <w:szCs w:val="24"/>
        </w:rPr>
      </w:pPr>
      <w:r w:rsidRPr="00A01CD2">
        <w:rPr>
          <w:rFonts w:cs="Times New Roman"/>
          <w:sz w:val="24"/>
          <w:szCs w:val="24"/>
        </w:rPr>
        <w:t>FOR SUBMISSION TO THE</w:t>
      </w:r>
    </w:p>
    <w:p w:rsidR="002102A5" w:rsidRPr="00A01CD2" w:rsidRDefault="002102A5" w:rsidP="002102A5">
      <w:pPr>
        <w:pStyle w:val="Body"/>
        <w:jc w:val="center"/>
        <w:rPr>
          <w:rFonts w:cs="Times New Roman"/>
          <w:sz w:val="24"/>
          <w:szCs w:val="24"/>
        </w:rPr>
      </w:pPr>
      <w:r w:rsidRPr="00A01CD2">
        <w:rPr>
          <w:rFonts w:cs="Times New Roman"/>
          <w:sz w:val="24"/>
          <w:szCs w:val="24"/>
        </w:rPr>
        <w:t>INTERNATIONAL COURT OF JUSTICE</w:t>
      </w:r>
    </w:p>
    <w:p w:rsidR="002102A5" w:rsidRPr="00A01CD2" w:rsidRDefault="002102A5" w:rsidP="002102A5">
      <w:pPr>
        <w:pStyle w:val="Body"/>
        <w:jc w:val="center"/>
        <w:rPr>
          <w:rFonts w:cs="Times New Roman"/>
          <w:sz w:val="24"/>
          <w:szCs w:val="24"/>
        </w:rPr>
      </w:pPr>
      <w:r w:rsidRPr="00A01CD2">
        <w:rPr>
          <w:rFonts w:cs="Times New Roman"/>
          <w:sz w:val="24"/>
          <w:szCs w:val="24"/>
        </w:rPr>
        <w:t>OF DIFFERENCES BETWEEN THEM CONCERNING</w:t>
      </w:r>
    </w:p>
    <w:p w:rsidR="002102A5" w:rsidRPr="00A01CD2" w:rsidRDefault="002102A5" w:rsidP="002102A5">
      <w:pPr>
        <w:pStyle w:val="Body"/>
        <w:jc w:val="center"/>
        <w:rPr>
          <w:rFonts w:cs="Times New Roman"/>
          <w:sz w:val="24"/>
          <w:szCs w:val="24"/>
        </w:rPr>
      </w:pPr>
      <w:r w:rsidRPr="00A01CD2">
        <w:rPr>
          <w:rFonts w:cs="Times New Roman"/>
          <w:sz w:val="24"/>
          <w:szCs w:val="24"/>
        </w:rPr>
        <w:t xml:space="preserve">QUESTIONS RELATING TO </w:t>
      </w:r>
    </w:p>
    <w:p w:rsidR="002102A5" w:rsidRPr="00A01CD2" w:rsidRDefault="002102A5" w:rsidP="002102A5">
      <w:pPr>
        <w:pStyle w:val="Body"/>
        <w:jc w:val="center"/>
        <w:rPr>
          <w:rFonts w:cs="Times New Roman"/>
          <w:sz w:val="24"/>
          <w:szCs w:val="24"/>
        </w:rPr>
      </w:pPr>
      <w:r w:rsidRPr="00A01CD2">
        <w:rPr>
          <w:rFonts w:cs="Times New Roman"/>
          <w:sz w:val="24"/>
          <w:szCs w:val="24"/>
        </w:rPr>
        <w:t xml:space="preserve">SOVEREIGN IMMUNITIES, REPARATIONS &amp; GENOCIDE </w:t>
      </w:r>
    </w:p>
    <w:p w:rsidR="002102A5" w:rsidRPr="00A01CD2" w:rsidRDefault="002102A5" w:rsidP="002102A5">
      <w:pPr>
        <w:pStyle w:val="Body"/>
        <w:jc w:val="center"/>
        <w:rPr>
          <w:rFonts w:cs="Times New Roman"/>
          <w:sz w:val="24"/>
          <w:szCs w:val="24"/>
        </w:rPr>
      </w:pPr>
    </w:p>
    <w:p w:rsidR="002102A5" w:rsidRPr="00A01CD2" w:rsidRDefault="002102A5" w:rsidP="002102A5">
      <w:pPr>
        <w:pStyle w:val="Body"/>
        <w:rPr>
          <w:rFonts w:cs="Times New Roman"/>
          <w:sz w:val="24"/>
          <w:szCs w:val="24"/>
        </w:rPr>
      </w:pPr>
      <w:r>
        <w:rPr>
          <w:rFonts w:cs="Times New Roman"/>
          <w:sz w:val="24"/>
          <w:szCs w:val="24"/>
        </w:rPr>
        <w:t xml:space="preserve">The Republic of </w:t>
      </w:r>
      <w:r w:rsidRPr="00A01CD2">
        <w:rPr>
          <w:rFonts w:cs="Times New Roman"/>
          <w:sz w:val="24"/>
          <w:szCs w:val="24"/>
        </w:rPr>
        <w:t xml:space="preserve">Eastonia and </w:t>
      </w:r>
      <w:r>
        <w:rPr>
          <w:rFonts w:cs="Times New Roman"/>
          <w:sz w:val="24"/>
          <w:szCs w:val="24"/>
        </w:rPr>
        <w:t xml:space="preserve">the Republic of  </w:t>
      </w:r>
      <w:r w:rsidRPr="00A01CD2">
        <w:rPr>
          <w:rFonts w:cs="Times New Roman"/>
          <w:sz w:val="24"/>
          <w:szCs w:val="24"/>
        </w:rPr>
        <w:t>Nordway,</w:t>
      </w:r>
    </w:p>
    <w:p w:rsidR="002102A5" w:rsidRPr="00A01CD2" w:rsidRDefault="002102A5" w:rsidP="002102A5">
      <w:pPr>
        <w:pStyle w:val="Body"/>
        <w:rPr>
          <w:rFonts w:cs="Times New Roman"/>
          <w:sz w:val="24"/>
          <w:szCs w:val="24"/>
        </w:rPr>
      </w:pPr>
    </w:p>
    <w:p w:rsidR="002102A5" w:rsidRPr="00A01CD2" w:rsidRDefault="002102A5" w:rsidP="002102A5">
      <w:pPr>
        <w:pStyle w:val="Body"/>
        <w:rPr>
          <w:rFonts w:cs="Times New Roman"/>
          <w:sz w:val="24"/>
          <w:szCs w:val="24"/>
        </w:rPr>
      </w:pPr>
      <w:r w:rsidRPr="00A01CD2">
        <w:rPr>
          <w:rFonts w:cs="Times New Roman"/>
          <w:i/>
          <w:iCs/>
          <w:sz w:val="24"/>
          <w:szCs w:val="24"/>
        </w:rPr>
        <w:t xml:space="preserve">Recalling </w:t>
      </w:r>
      <w:r w:rsidRPr="00A01CD2">
        <w:rPr>
          <w:rFonts w:cs="Times New Roman"/>
          <w:sz w:val="24"/>
          <w:szCs w:val="24"/>
        </w:rPr>
        <w:t>that Eastonia and Nordway are Members of the United Nations and that the</w:t>
      </w:r>
      <w:r>
        <w:rPr>
          <w:rFonts w:cs="Times New Roman"/>
          <w:sz w:val="24"/>
          <w:szCs w:val="24"/>
        </w:rPr>
        <w:t xml:space="preserve"> </w:t>
      </w:r>
      <w:r w:rsidRPr="00A01CD2">
        <w:rPr>
          <w:rFonts w:cs="Times New Roman"/>
          <w:sz w:val="24"/>
          <w:szCs w:val="24"/>
        </w:rPr>
        <w:t>Charter of the United Nations calls on Members to settle international disputes by peaceful</w:t>
      </w:r>
      <w:r>
        <w:rPr>
          <w:rFonts w:cs="Times New Roman"/>
          <w:sz w:val="24"/>
          <w:szCs w:val="24"/>
        </w:rPr>
        <w:t xml:space="preserve"> </w:t>
      </w:r>
      <w:r w:rsidRPr="00A01CD2">
        <w:rPr>
          <w:rFonts w:cs="Times New Roman"/>
          <w:sz w:val="24"/>
          <w:szCs w:val="24"/>
        </w:rPr>
        <w:t>means,</w:t>
      </w:r>
    </w:p>
    <w:p w:rsidR="002102A5" w:rsidRPr="00A01CD2" w:rsidRDefault="002102A5" w:rsidP="002102A5">
      <w:pPr>
        <w:pStyle w:val="Body"/>
        <w:jc w:val="center"/>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Noting</w:t>
      </w:r>
      <w:r w:rsidRPr="00A01CD2">
        <w:rPr>
          <w:rFonts w:cs="Times New Roman"/>
          <w:sz w:val="24"/>
          <w:szCs w:val="24"/>
        </w:rPr>
        <w:t xml:space="preserve"> that Eastonia and Nordway signatories of the </w:t>
      </w:r>
      <w:r w:rsidRPr="00524DE1">
        <w:rPr>
          <w:rFonts w:cs="Times New Roman"/>
          <w:i/>
          <w:iCs/>
          <w:sz w:val="24"/>
          <w:szCs w:val="24"/>
        </w:rPr>
        <w:t>United Nations Convention on Jurisdictional Immunities of States and Their Property</w:t>
      </w:r>
      <w:r w:rsidRPr="00A01CD2">
        <w:rPr>
          <w:rFonts w:cs="Times New Roman"/>
          <w:sz w:val="24"/>
          <w:szCs w:val="24"/>
        </w:rPr>
        <w:t xml:space="preserve">, which provides, </w:t>
      </w:r>
      <w:r>
        <w:rPr>
          <w:rFonts w:cs="Times New Roman"/>
          <w:sz w:val="24"/>
          <w:szCs w:val="24"/>
        </w:rPr>
        <w:t xml:space="preserve">under </w:t>
      </w:r>
      <w:r w:rsidRPr="00A01CD2">
        <w:rPr>
          <w:rFonts w:cs="Times New Roman"/>
          <w:sz w:val="24"/>
          <w:szCs w:val="24"/>
        </w:rPr>
        <w:t xml:space="preserve">Article 27, the power for State Parties to refer their dispute to the International Court of Justice by request in accordance with the </w:t>
      </w:r>
      <w:r>
        <w:rPr>
          <w:rFonts w:cs="Times New Roman"/>
          <w:sz w:val="24"/>
          <w:szCs w:val="24"/>
        </w:rPr>
        <w:t>s</w:t>
      </w:r>
      <w:r w:rsidRPr="00A01CD2">
        <w:rPr>
          <w:rFonts w:cs="Times New Roman"/>
          <w:sz w:val="24"/>
          <w:szCs w:val="24"/>
        </w:rPr>
        <w:t>tatute of the Court,</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 xml:space="preserve">Noting </w:t>
      </w:r>
      <w:r w:rsidRPr="00A01CD2">
        <w:rPr>
          <w:rFonts w:cs="Times New Roman"/>
          <w:sz w:val="24"/>
          <w:szCs w:val="24"/>
        </w:rPr>
        <w:t>that Eastonia, Nordway and Westfalia are signatories of the Convention on the Prevention and Punishment of the Crime of Genocide, which provides</w:t>
      </w:r>
      <w:r>
        <w:rPr>
          <w:rFonts w:cs="Times New Roman"/>
          <w:sz w:val="24"/>
          <w:szCs w:val="24"/>
        </w:rPr>
        <w:t xml:space="preserve"> under </w:t>
      </w:r>
      <w:r w:rsidRPr="00A01CD2">
        <w:rPr>
          <w:rFonts w:cs="Times New Roman"/>
          <w:sz w:val="24"/>
          <w:szCs w:val="24"/>
        </w:rPr>
        <w:t xml:space="preserve">Article IX, the power for the State Parties to refer their dispute to the International Court of Justice by request and in accordance with the </w:t>
      </w:r>
      <w:r>
        <w:rPr>
          <w:rFonts w:cs="Times New Roman"/>
          <w:sz w:val="24"/>
          <w:szCs w:val="24"/>
        </w:rPr>
        <w:t>s</w:t>
      </w:r>
      <w:r w:rsidRPr="00A01CD2">
        <w:rPr>
          <w:rFonts w:cs="Times New Roman"/>
          <w:sz w:val="24"/>
          <w:szCs w:val="24"/>
        </w:rPr>
        <w:t>tatue of the Court,</w:t>
      </w:r>
    </w:p>
    <w:p w:rsidR="002102A5" w:rsidRPr="00A01CD2" w:rsidRDefault="002102A5" w:rsidP="002102A5">
      <w:pPr>
        <w:pStyle w:val="Body"/>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Recognizing</w:t>
      </w:r>
      <w:r w:rsidRPr="00A01CD2">
        <w:rPr>
          <w:rFonts w:cs="Times New Roman"/>
          <w:sz w:val="24"/>
          <w:szCs w:val="24"/>
        </w:rPr>
        <w:t xml:space="preserve"> that differences have arisen between </w:t>
      </w:r>
      <w:r>
        <w:rPr>
          <w:rFonts w:cs="Times New Roman"/>
          <w:sz w:val="24"/>
          <w:szCs w:val="24"/>
        </w:rPr>
        <w:t xml:space="preserve">the </w:t>
      </w:r>
      <w:r w:rsidRPr="00A01CD2">
        <w:rPr>
          <w:rFonts w:cs="Times New Roman"/>
          <w:sz w:val="24"/>
          <w:szCs w:val="24"/>
        </w:rPr>
        <w:t>Eastonia and Nordway concerning theproposed activities of PetroGlobal in the territory of the Westfalia</w:t>
      </w:r>
    </w:p>
    <w:p w:rsidR="002102A5" w:rsidRPr="00A01CD2" w:rsidRDefault="002102A5" w:rsidP="002102A5">
      <w:pPr>
        <w:pStyle w:val="Body"/>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Acknowledging</w:t>
      </w:r>
      <w:r w:rsidRPr="00A01CD2">
        <w:rPr>
          <w:rFonts w:cs="Times New Roman"/>
          <w:sz w:val="24"/>
          <w:szCs w:val="24"/>
        </w:rPr>
        <w:t xml:space="preserve"> that Eastonia and Nordway have been unable to settle their differencesthrough negotiation or other forms of dispute settlement,</w:t>
      </w:r>
    </w:p>
    <w:p w:rsidR="002102A5" w:rsidRPr="00A01CD2" w:rsidRDefault="002102A5" w:rsidP="002102A5">
      <w:pPr>
        <w:pStyle w:val="Body"/>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Desiring</w:t>
      </w:r>
      <w:r w:rsidRPr="00A01CD2">
        <w:rPr>
          <w:rFonts w:cs="Times New Roman"/>
          <w:sz w:val="24"/>
          <w:szCs w:val="24"/>
        </w:rPr>
        <w:t xml:space="preserve"> that the International Court of Justice, hereinafter referred to as </w:t>
      </w:r>
      <w:r w:rsidRPr="00A01CD2">
        <w:rPr>
          <w:rFonts w:cs="Times New Roman"/>
          <w:sz w:val="24"/>
          <w:szCs w:val="24"/>
          <w:rtl/>
          <w:lang w:val="ar-SA"/>
        </w:rPr>
        <w:t>“</w:t>
      </w:r>
      <w:r>
        <w:rPr>
          <w:rFonts w:cs="Times New Roman"/>
          <w:sz w:val="24"/>
          <w:szCs w:val="24"/>
        </w:rPr>
        <w:t>the ICJ</w:t>
      </w:r>
      <w:r w:rsidRPr="00A01CD2">
        <w:rPr>
          <w:rFonts w:cs="Times New Roman"/>
          <w:sz w:val="24"/>
          <w:szCs w:val="24"/>
        </w:rPr>
        <w:t>”consider these differences,</w:t>
      </w:r>
    </w:p>
    <w:p w:rsidR="002102A5" w:rsidRPr="00A01CD2" w:rsidRDefault="002102A5" w:rsidP="002102A5">
      <w:pPr>
        <w:pStyle w:val="Body"/>
        <w:rPr>
          <w:rFonts w:cs="Times New Roman"/>
          <w:sz w:val="24"/>
          <w:szCs w:val="24"/>
        </w:rPr>
      </w:pPr>
    </w:p>
    <w:p w:rsidR="002102A5" w:rsidRPr="00A01CD2" w:rsidRDefault="002102A5" w:rsidP="002102A5">
      <w:pPr>
        <w:pStyle w:val="Body"/>
        <w:rPr>
          <w:rFonts w:cs="Times New Roman"/>
          <w:sz w:val="24"/>
          <w:szCs w:val="24"/>
        </w:rPr>
      </w:pPr>
      <w:r w:rsidRPr="00A01CD2">
        <w:rPr>
          <w:rFonts w:cs="Times New Roman"/>
          <w:i/>
          <w:iCs/>
          <w:sz w:val="24"/>
          <w:szCs w:val="24"/>
        </w:rPr>
        <w:t>Desiring</w:t>
      </w:r>
      <w:r w:rsidRPr="00A01CD2">
        <w:rPr>
          <w:rFonts w:cs="Times New Roman"/>
          <w:sz w:val="24"/>
          <w:szCs w:val="24"/>
        </w:rPr>
        <w:t xml:space="preserve"> further to define the issues to be submitted to the Court,</w:t>
      </w:r>
    </w:p>
    <w:p w:rsidR="002102A5" w:rsidRPr="00A01CD2" w:rsidRDefault="002102A5" w:rsidP="002102A5">
      <w:pPr>
        <w:pStyle w:val="Body"/>
        <w:rPr>
          <w:rFonts w:cs="Times New Roman"/>
          <w:sz w:val="24"/>
          <w:szCs w:val="24"/>
        </w:rPr>
      </w:pPr>
    </w:p>
    <w:p w:rsidR="002102A5" w:rsidRPr="00A01CD2" w:rsidRDefault="002102A5" w:rsidP="002102A5">
      <w:pPr>
        <w:pStyle w:val="Body"/>
        <w:rPr>
          <w:rFonts w:cs="Times New Roman"/>
          <w:sz w:val="24"/>
          <w:szCs w:val="24"/>
        </w:rPr>
      </w:pPr>
      <w:r w:rsidRPr="00A01CD2">
        <w:rPr>
          <w:rFonts w:cs="Times New Roman"/>
          <w:i/>
          <w:iCs/>
          <w:sz w:val="24"/>
          <w:szCs w:val="24"/>
        </w:rPr>
        <w:t xml:space="preserve">Have agreed </w:t>
      </w:r>
      <w:r w:rsidRPr="00A01CD2">
        <w:rPr>
          <w:rFonts w:cs="Times New Roman"/>
          <w:sz w:val="24"/>
          <w:szCs w:val="24"/>
        </w:rPr>
        <w:t>as follows:</w:t>
      </w:r>
    </w:p>
    <w:p w:rsidR="002102A5" w:rsidRPr="00A01CD2" w:rsidRDefault="002102A5" w:rsidP="002102A5">
      <w:pPr>
        <w:pStyle w:val="Body"/>
        <w:rPr>
          <w:rFonts w:cs="Times New Roman"/>
          <w:sz w:val="24"/>
          <w:szCs w:val="24"/>
        </w:rPr>
      </w:pPr>
    </w:p>
    <w:p w:rsidR="002102A5" w:rsidRPr="002102A5" w:rsidRDefault="002102A5" w:rsidP="002102A5">
      <w:pPr>
        <w:pStyle w:val="Body"/>
        <w:jc w:val="center"/>
        <w:rPr>
          <w:rFonts w:cs="Times New Roman"/>
          <w:b/>
          <w:sz w:val="24"/>
          <w:szCs w:val="24"/>
          <w:u w:val="single"/>
        </w:rPr>
      </w:pPr>
      <w:r w:rsidRPr="002102A5">
        <w:rPr>
          <w:rFonts w:cs="Times New Roman"/>
          <w:b/>
          <w:sz w:val="24"/>
          <w:szCs w:val="24"/>
          <w:u w:val="single"/>
        </w:rPr>
        <w:t>Article I</w:t>
      </w:r>
    </w:p>
    <w:p w:rsidR="002102A5" w:rsidRPr="00A01CD2" w:rsidRDefault="002102A5" w:rsidP="002102A5">
      <w:pPr>
        <w:pStyle w:val="Body"/>
        <w:jc w:val="center"/>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 xml:space="preserve">Eastonia and Nordway, hereinafter referred to as “The Parties,” shall submit the questions contained in Annex A of this Agreement to the Court pursuant to Article 40, paragraph 1 of the </w:t>
      </w:r>
      <w:r>
        <w:rPr>
          <w:rFonts w:cs="Times New Roman"/>
          <w:sz w:val="24"/>
          <w:szCs w:val="24"/>
        </w:rPr>
        <w:t>s</w:t>
      </w:r>
      <w:r w:rsidRPr="00A01CD2">
        <w:rPr>
          <w:rFonts w:cs="Times New Roman"/>
          <w:sz w:val="24"/>
          <w:szCs w:val="24"/>
        </w:rPr>
        <w:t>tatute of the International Court of Justice. The Parties agree that the Court has jurisdiction to decide this matter and that they will not dispute the Court</w:t>
      </w:r>
      <w:r w:rsidRPr="00A01CD2">
        <w:rPr>
          <w:rFonts w:cs="Times New Roman"/>
          <w:sz w:val="24"/>
          <w:szCs w:val="24"/>
          <w:rtl/>
        </w:rPr>
        <w:t>’</w:t>
      </w:r>
      <w:r w:rsidRPr="00A01CD2">
        <w:rPr>
          <w:rFonts w:cs="Times New Roman"/>
          <w:sz w:val="24"/>
          <w:szCs w:val="24"/>
        </w:rPr>
        <w:t>s</w:t>
      </w:r>
      <w:r>
        <w:rPr>
          <w:rFonts w:cs="Times New Roman"/>
          <w:sz w:val="24"/>
          <w:szCs w:val="24"/>
        </w:rPr>
        <w:t xml:space="preserve"> </w:t>
      </w:r>
      <w:r w:rsidRPr="00A01CD2">
        <w:rPr>
          <w:rFonts w:cs="Times New Roman"/>
          <w:sz w:val="24"/>
          <w:szCs w:val="24"/>
        </w:rPr>
        <w:t>jurisdiction in the written or oral proceedings.</w:t>
      </w:r>
    </w:p>
    <w:p w:rsidR="002102A5" w:rsidRDefault="002102A5" w:rsidP="002102A5">
      <w:pPr>
        <w:pStyle w:val="Body"/>
        <w:rPr>
          <w:rFonts w:cs="Times New Roman"/>
          <w:sz w:val="24"/>
          <w:szCs w:val="24"/>
        </w:rPr>
      </w:pPr>
    </w:p>
    <w:p w:rsidR="002102A5" w:rsidRDefault="002102A5" w:rsidP="002102A5">
      <w:pPr>
        <w:pStyle w:val="Body"/>
        <w:rPr>
          <w:rFonts w:cs="Times New Roman"/>
          <w:sz w:val="24"/>
          <w:szCs w:val="24"/>
        </w:rPr>
      </w:pPr>
    </w:p>
    <w:p w:rsidR="002102A5" w:rsidRPr="00A01CD2" w:rsidRDefault="002102A5" w:rsidP="002102A5">
      <w:pPr>
        <w:pStyle w:val="Body"/>
        <w:rPr>
          <w:rFonts w:cs="Times New Roman"/>
          <w:sz w:val="24"/>
          <w:szCs w:val="24"/>
        </w:rPr>
      </w:pPr>
    </w:p>
    <w:p w:rsidR="002102A5" w:rsidRPr="002102A5" w:rsidRDefault="002102A5" w:rsidP="002102A5">
      <w:pPr>
        <w:pStyle w:val="Body"/>
        <w:jc w:val="center"/>
        <w:rPr>
          <w:rFonts w:cs="Times New Roman"/>
          <w:b/>
          <w:sz w:val="24"/>
          <w:szCs w:val="24"/>
          <w:u w:val="single"/>
        </w:rPr>
      </w:pPr>
      <w:r w:rsidRPr="002102A5">
        <w:rPr>
          <w:rFonts w:cs="Times New Roman"/>
          <w:b/>
          <w:sz w:val="24"/>
          <w:szCs w:val="24"/>
          <w:u w:val="single"/>
        </w:rPr>
        <w:lastRenderedPageBreak/>
        <w:t>Article II</w:t>
      </w:r>
    </w:p>
    <w:p w:rsidR="002102A5" w:rsidRPr="00A01CD2" w:rsidRDefault="002102A5" w:rsidP="002102A5">
      <w:pPr>
        <w:pStyle w:val="Body"/>
        <w:jc w:val="both"/>
        <w:rPr>
          <w:rFonts w:cs="Times New Roman"/>
          <w:sz w:val="24"/>
          <w:szCs w:val="24"/>
        </w:rPr>
      </w:pPr>
      <w:r w:rsidRPr="00A01CD2">
        <w:rPr>
          <w:rFonts w:cs="Times New Roman"/>
          <w:sz w:val="24"/>
          <w:szCs w:val="24"/>
        </w:rPr>
        <w:t>1. The Parties shall request the Court to decide this matter on the basis of the rules and</w:t>
      </w:r>
      <w:r>
        <w:rPr>
          <w:rFonts w:cs="Times New Roman"/>
          <w:sz w:val="24"/>
          <w:szCs w:val="24"/>
        </w:rPr>
        <w:t xml:space="preserve"> </w:t>
      </w:r>
      <w:r w:rsidRPr="00A01CD2">
        <w:rPr>
          <w:rFonts w:cs="Times New Roman"/>
          <w:sz w:val="24"/>
          <w:szCs w:val="24"/>
        </w:rPr>
        <w:t xml:space="preserve">principles of general international law, as well as any applicable treaties, including the United </w:t>
      </w:r>
      <w:r w:rsidRPr="00524DE1">
        <w:rPr>
          <w:rFonts w:cs="Times New Roman"/>
          <w:i/>
          <w:iCs/>
          <w:sz w:val="24"/>
          <w:szCs w:val="24"/>
        </w:rPr>
        <w:t>Nations Convention on Jurisdictional Immunities of States and Their Property</w:t>
      </w:r>
      <w:r w:rsidRPr="00A01CD2">
        <w:rPr>
          <w:rFonts w:cs="Times New Roman"/>
          <w:sz w:val="24"/>
          <w:szCs w:val="24"/>
        </w:rPr>
        <w:t xml:space="preserve">, the Treaty on Oil Exploration and Extraction Cooperation </w:t>
      </w:r>
      <w:r>
        <w:rPr>
          <w:rFonts w:cs="Times New Roman"/>
          <w:sz w:val="24"/>
          <w:szCs w:val="24"/>
        </w:rPr>
        <w:t>b</w:t>
      </w:r>
      <w:r w:rsidRPr="00A01CD2">
        <w:rPr>
          <w:rFonts w:cs="Times New Roman"/>
          <w:sz w:val="24"/>
          <w:szCs w:val="24"/>
        </w:rPr>
        <w:t xml:space="preserve">etween </w:t>
      </w:r>
      <w:r>
        <w:rPr>
          <w:rFonts w:cs="Times New Roman"/>
          <w:sz w:val="24"/>
          <w:szCs w:val="24"/>
        </w:rPr>
        <w:t>t</w:t>
      </w:r>
      <w:r w:rsidRPr="00A01CD2">
        <w:rPr>
          <w:rFonts w:cs="Times New Roman"/>
          <w:sz w:val="24"/>
          <w:szCs w:val="24"/>
        </w:rPr>
        <w:t xml:space="preserve">he Sovereign State of </w:t>
      </w:r>
      <w:r>
        <w:rPr>
          <w:rFonts w:cs="Times New Roman"/>
          <w:sz w:val="24"/>
          <w:szCs w:val="24"/>
        </w:rPr>
        <w:t xml:space="preserve"> </w:t>
      </w:r>
      <w:r w:rsidRPr="00A01CD2">
        <w:rPr>
          <w:rFonts w:cs="Times New Roman"/>
          <w:sz w:val="24"/>
          <w:szCs w:val="24"/>
        </w:rPr>
        <w:t xml:space="preserve">Eastonia and </w:t>
      </w:r>
      <w:r>
        <w:rPr>
          <w:rFonts w:cs="Times New Roman"/>
          <w:sz w:val="24"/>
          <w:szCs w:val="24"/>
        </w:rPr>
        <w:t>t</w:t>
      </w:r>
      <w:r w:rsidRPr="00A01CD2">
        <w:rPr>
          <w:rFonts w:cs="Times New Roman"/>
          <w:sz w:val="24"/>
          <w:szCs w:val="24"/>
        </w:rPr>
        <w:t xml:space="preserve">he Republic of </w:t>
      </w:r>
      <w:r>
        <w:rPr>
          <w:rFonts w:cs="Times New Roman"/>
          <w:sz w:val="24"/>
          <w:szCs w:val="24"/>
        </w:rPr>
        <w:t xml:space="preserve"> </w:t>
      </w:r>
      <w:r w:rsidRPr="00A01CD2">
        <w:rPr>
          <w:rFonts w:cs="Times New Roman"/>
          <w:sz w:val="24"/>
          <w:szCs w:val="24"/>
        </w:rPr>
        <w:t xml:space="preserve">Westfalia, and Convention on the Prevention and Punishment of the Crime of Genocide, 1948. </w:t>
      </w:r>
    </w:p>
    <w:p w:rsidR="002102A5" w:rsidRPr="00A01CD2" w:rsidRDefault="002102A5" w:rsidP="002102A5">
      <w:pPr>
        <w:pStyle w:val="Body"/>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 xml:space="preserve">2. The Parties shall request the Court to decide this matter based on the </w:t>
      </w:r>
      <w:r>
        <w:rPr>
          <w:rFonts w:cs="Times New Roman"/>
          <w:sz w:val="24"/>
          <w:szCs w:val="24"/>
        </w:rPr>
        <w:t>a</w:t>
      </w:r>
      <w:r w:rsidRPr="00A01CD2">
        <w:rPr>
          <w:rFonts w:cs="Times New Roman"/>
          <w:sz w:val="24"/>
          <w:szCs w:val="24"/>
        </w:rPr>
        <w:t>greedStatement of Facts, attached as Annex A, which is an integral part of this Agreement.</w:t>
      </w:r>
    </w:p>
    <w:p w:rsidR="002102A5" w:rsidRPr="00A01CD2" w:rsidRDefault="002102A5" w:rsidP="002102A5">
      <w:pPr>
        <w:pStyle w:val="Body"/>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3. The Parties also shall request the Court to determine the legal consequences, includingthe rights and obligations of the Parties, arising from any judgment on the questionspresented in this matter.</w:t>
      </w:r>
    </w:p>
    <w:p w:rsidR="002102A5" w:rsidRPr="00A01CD2" w:rsidRDefault="002102A5" w:rsidP="002102A5">
      <w:pPr>
        <w:pStyle w:val="Body"/>
        <w:rPr>
          <w:rFonts w:cs="Times New Roman"/>
          <w:sz w:val="24"/>
          <w:szCs w:val="24"/>
        </w:rPr>
      </w:pPr>
    </w:p>
    <w:p w:rsidR="002102A5" w:rsidRPr="002102A5" w:rsidRDefault="002102A5" w:rsidP="002102A5">
      <w:pPr>
        <w:pStyle w:val="Body"/>
        <w:jc w:val="center"/>
        <w:rPr>
          <w:rFonts w:cs="Times New Roman"/>
          <w:b/>
          <w:sz w:val="24"/>
          <w:szCs w:val="24"/>
          <w:u w:val="single"/>
        </w:rPr>
      </w:pPr>
      <w:r w:rsidRPr="002102A5">
        <w:rPr>
          <w:rFonts w:cs="Times New Roman"/>
          <w:b/>
          <w:sz w:val="24"/>
          <w:szCs w:val="24"/>
          <w:u w:val="single"/>
        </w:rPr>
        <w:t>Article III</w:t>
      </w:r>
    </w:p>
    <w:p w:rsidR="002102A5" w:rsidRPr="00A01CD2" w:rsidRDefault="002102A5" w:rsidP="002102A5">
      <w:pPr>
        <w:pStyle w:val="Body"/>
        <w:jc w:val="center"/>
        <w:rPr>
          <w:rFonts w:cs="Times New Roman"/>
          <w:sz w:val="24"/>
          <w:szCs w:val="24"/>
          <w:u w:val="single"/>
        </w:rPr>
      </w:pPr>
    </w:p>
    <w:p w:rsidR="002102A5" w:rsidRPr="00A01CD2" w:rsidRDefault="002102A5" w:rsidP="002102A5">
      <w:pPr>
        <w:pStyle w:val="Body"/>
        <w:numPr>
          <w:ilvl w:val="0"/>
          <w:numId w:val="2"/>
        </w:numPr>
        <w:jc w:val="both"/>
        <w:rPr>
          <w:rFonts w:cs="Times New Roman"/>
          <w:sz w:val="24"/>
          <w:szCs w:val="24"/>
        </w:rPr>
      </w:pPr>
      <w:r w:rsidRPr="00A01CD2">
        <w:rPr>
          <w:rFonts w:cs="Times New Roman"/>
          <w:sz w:val="24"/>
          <w:szCs w:val="24"/>
        </w:rPr>
        <w:t>The proceedings shall consist of written pleadings and oral arguments.</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2. The written pleadings shall consist of memorials to be submitted simultaneously to the</w:t>
      </w:r>
      <w:r>
        <w:rPr>
          <w:rFonts w:cs="Times New Roman"/>
          <w:sz w:val="24"/>
          <w:szCs w:val="24"/>
        </w:rPr>
        <w:t xml:space="preserve"> </w:t>
      </w:r>
      <w:r w:rsidRPr="00A01CD2">
        <w:rPr>
          <w:rFonts w:cs="Times New Roman"/>
          <w:sz w:val="24"/>
          <w:szCs w:val="24"/>
        </w:rPr>
        <w:t xml:space="preserve">Court by the Parties. To the extent that the Parties make treaty-based arguments, theyshall focus on the treaties referenced in the Annexure, other treaties  to which the State Members are Party to, customs and principles of and discussed within the Annexures. </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3. The written pleadings shall be consistent with the Rules for the 2024 VS Mani Moot Court Competition</w:t>
      </w:r>
      <w:r>
        <w:rPr>
          <w:rFonts w:cs="Times New Roman"/>
          <w:sz w:val="24"/>
          <w:szCs w:val="24"/>
        </w:rPr>
        <w:t>.</w:t>
      </w:r>
    </w:p>
    <w:p w:rsidR="002102A5" w:rsidRPr="00A01CD2" w:rsidRDefault="002102A5" w:rsidP="002102A5">
      <w:pPr>
        <w:pStyle w:val="Body"/>
        <w:rPr>
          <w:rFonts w:cs="Times New Roman"/>
          <w:sz w:val="24"/>
          <w:szCs w:val="24"/>
        </w:rPr>
      </w:pPr>
    </w:p>
    <w:p w:rsidR="002102A5" w:rsidRPr="002102A5" w:rsidRDefault="002102A5" w:rsidP="002102A5">
      <w:pPr>
        <w:pStyle w:val="Body"/>
        <w:jc w:val="center"/>
        <w:rPr>
          <w:rFonts w:cs="Times New Roman"/>
          <w:b/>
          <w:sz w:val="24"/>
          <w:szCs w:val="24"/>
          <w:u w:val="single"/>
        </w:rPr>
      </w:pPr>
      <w:r w:rsidRPr="002102A5">
        <w:rPr>
          <w:rFonts w:cs="Times New Roman"/>
          <w:b/>
          <w:sz w:val="24"/>
          <w:szCs w:val="24"/>
          <w:u w:val="single"/>
        </w:rPr>
        <w:t>Article IV</w:t>
      </w:r>
    </w:p>
    <w:p w:rsidR="002102A5" w:rsidRPr="00A01CD2" w:rsidRDefault="002102A5" w:rsidP="002102A5">
      <w:pPr>
        <w:pStyle w:val="Body"/>
        <w:jc w:val="center"/>
        <w:rPr>
          <w:rFonts w:cs="Times New Roman"/>
          <w:sz w:val="24"/>
          <w:szCs w:val="24"/>
          <w:u w:val="single"/>
        </w:rPr>
      </w:pPr>
    </w:p>
    <w:p w:rsidR="002102A5" w:rsidRPr="00A01CD2" w:rsidRDefault="002102A5" w:rsidP="002102A5">
      <w:pPr>
        <w:pStyle w:val="Body"/>
        <w:jc w:val="both"/>
        <w:rPr>
          <w:rFonts w:cs="Times New Roman"/>
          <w:sz w:val="24"/>
          <w:szCs w:val="24"/>
        </w:rPr>
      </w:pPr>
      <w:r w:rsidRPr="00A01CD2">
        <w:rPr>
          <w:rFonts w:cs="Times New Roman"/>
          <w:sz w:val="24"/>
          <w:szCs w:val="24"/>
        </w:rPr>
        <w:t>1. The Parties shall accept the Judgment of the Court as final and binding upon them andshall execute it in its entirety and in good faith.</w:t>
      </w:r>
    </w:p>
    <w:p w:rsidR="002102A5" w:rsidRPr="002102A5" w:rsidRDefault="002102A5" w:rsidP="002102A5">
      <w:pPr>
        <w:pStyle w:val="Body"/>
        <w:rPr>
          <w:rFonts w:cs="Times New Roman"/>
          <w:sz w:val="14"/>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2. Immediately after the transmission of the Judgment, the Parties shall enter intonegotiations on the modalities for its execution.</w:t>
      </w:r>
    </w:p>
    <w:p w:rsidR="002102A5" w:rsidRPr="002102A5" w:rsidRDefault="002102A5" w:rsidP="002102A5">
      <w:pPr>
        <w:pStyle w:val="Body"/>
        <w:rPr>
          <w:rFonts w:cs="Times New Roman"/>
          <w:sz w:val="18"/>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3. If the Parties are unable to reach agreement within six months, either Party may requestthe Court to render an additional Judgment to determine the modalities for executing its</w:t>
      </w:r>
      <w:r>
        <w:rPr>
          <w:rFonts w:cs="Times New Roman"/>
          <w:sz w:val="24"/>
          <w:szCs w:val="24"/>
        </w:rPr>
        <w:t xml:space="preserve"> </w:t>
      </w:r>
      <w:r w:rsidRPr="00A01CD2">
        <w:rPr>
          <w:rFonts w:cs="Times New Roman"/>
          <w:sz w:val="24"/>
          <w:szCs w:val="24"/>
        </w:rPr>
        <w:t>Judgment.</w:t>
      </w:r>
    </w:p>
    <w:p w:rsidR="002102A5" w:rsidRPr="002102A5" w:rsidRDefault="002102A5" w:rsidP="002102A5">
      <w:pPr>
        <w:pStyle w:val="Body"/>
        <w:jc w:val="center"/>
        <w:rPr>
          <w:rFonts w:cs="Times New Roman"/>
          <w:b/>
          <w:sz w:val="24"/>
          <w:szCs w:val="24"/>
          <w:u w:val="single"/>
        </w:rPr>
      </w:pPr>
      <w:r w:rsidRPr="002102A5">
        <w:rPr>
          <w:rFonts w:cs="Times New Roman"/>
          <w:b/>
          <w:sz w:val="24"/>
          <w:szCs w:val="24"/>
          <w:u w:val="single"/>
        </w:rPr>
        <w:t>Article V</w:t>
      </w:r>
    </w:p>
    <w:p w:rsidR="002102A5" w:rsidRPr="00A01CD2" w:rsidRDefault="002102A5" w:rsidP="002102A5">
      <w:pPr>
        <w:pStyle w:val="Body"/>
        <w:jc w:val="center"/>
        <w:rPr>
          <w:rFonts w:cs="Times New Roman"/>
          <w:sz w:val="24"/>
          <w:szCs w:val="24"/>
          <w:u w:val="single"/>
        </w:rPr>
      </w:pPr>
    </w:p>
    <w:p w:rsidR="002102A5" w:rsidRPr="00A01CD2" w:rsidRDefault="002102A5" w:rsidP="002102A5">
      <w:pPr>
        <w:pStyle w:val="Body"/>
        <w:rPr>
          <w:rFonts w:cs="Times New Roman"/>
          <w:sz w:val="24"/>
          <w:szCs w:val="24"/>
        </w:rPr>
      </w:pPr>
      <w:r w:rsidRPr="00A01CD2">
        <w:rPr>
          <w:rFonts w:cs="Times New Roman"/>
          <w:sz w:val="24"/>
          <w:szCs w:val="24"/>
        </w:rPr>
        <w:t>This Special Agreement shall enter into force upon signature.</w:t>
      </w:r>
    </w:p>
    <w:p w:rsidR="002102A5" w:rsidRPr="002102A5" w:rsidRDefault="002102A5" w:rsidP="002102A5">
      <w:pPr>
        <w:pStyle w:val="Body"/>
        <w:rPr>
          <w:rFonts w:cs="Times New Roman"/>
          <w:sz w:val="8"/>
          <w:szCs w:val="24"/>
        </w:rPr>
      </w:pPr>
    </w:p>
    <w:p w:rsidR="002102A5" w:rsidRPr="00A01CD2" w:rsidRDefault="002102A5" w:rsidP="002102A5">
      <w:pPr>
        <w:pStyle w:val="Body"/>
        <w:rPr>
          <w:rFonts w:cs="Times New Roman"/>
          <w:sz w:val="24"/>
          <w:szCs w:val="24"/>
        </w:rPr>
      </w:pPr>
      <w:r w:rsidRPr="00A01CD2">
        <w:rPr>
          <w:rFonts w:cs="Times New Roman"/>
          <w:sz w:val="24"/>
          <w:szCs w:val="24"/>
        </w:rPr>
        <w:t>DONE</w:t>
      </w:r>
      <w:r w:rsidRPr="00A01CD2">
        <w:rPr>
          <w:rFonts w:cs="Times New Roman"/>
          <w:sz w:val="24"/>
          <w:szCs w:val="24"/>
          <w:lang w:val="da-DK"/>
        </w:rPr>
        <w:t xml:space="preserve"> at </w:t>
      </w:r>
      <w:r w:rsidRPr="00A01CD2">
        <w:rPr>
          <w:rFonts w:cs="Times New Roman"/>
          <w:sz w:val="24"/>
          <w:szCs w:val="24"/>
        </w:rPr>
        <w:t>Zurich, Switzerland, this 18th day of January, 2024, in two copies, each in the English language, and each being equally authentic.</w:t>
      </w:r>
    </w:p>
    <w:p w:rsidR="002102A5" w:rsidRPr="002102A5" w:rsidRDefault="002102A5" w:rsidP="002102A5">
      <w:pPr>
        <w:pStyle w:val="Body"/>
        <w:rPr>
          <w:rFonts w:cs="Times New Roman"/>
          <w:sz w:val="14"/>
          <w:szCs w:val="24"/>
        </w:rPr>
      </w:pPr>
    </w:p>
    <w:p w:rsidR="002102A5" w:rsidRPr="00A01CD2" w:rsidRDefault="002102A5" w:rsidP="002102A5">
      <w:pPr>
        <w:pStyle w:val="Body"/>
        <w:rPr>
          <w:rFonts w:cs="Times New Roman"/>
          <w:sz w:val="24"/>
          <w:szCs w:val="24"/>
        </w:rPr>
      </w:pPr>
      <w:r w:rsidRPr="00A01CD2">
        <w:rPr>
          <w:rFonts w:cs="Times New Roman"/>
          <w:sz w:val="24"/>
          <w:szCs w:val="24"/>
        </w:rPr>
        <w:t>For Eastonia:</w:t>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t xml:space="preserve"> For Nordway:</w:t>
      </w:r>
    </w:p>
    <w:p w:rsidR="002102A5" w:rsidRPr="00A01CD2" w:rsidRDefault="002102A5" w:rsidP="002102A5">
      <w:pPr>
        <w:pStyle w:val="Body"/>
        <w:rPr>
          <w:rFonts w:cs="Times New Roman"/>
          <w:sz w:val="24"/>
          <w:szCs w:val="24"/>
        </w:rPr>
      </w:pP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u w:val="single"/>
        </w:rPr>
        <w:t>/s/</w:t>
      </w:r>
      <w:r w:rsidRPr="00A01CD2">
        <w:rPr>
          <w:rFonts w:cs="Times New Roman"/>
          <w:sz w:val="24"/>
          <w:szCs w:val="24"/>
        </w:rPr>
        <w:t>_______________________</w:t>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u w:val="single"/>
        </w:rPr>
        <w:t>/s/</w:t>
      </w:r>
      <w:r w:rsidRPr="00A01CD2">
        <w:rPr>
          <w:rFonts w:cs="Times New Roman"/>
          <w:sz w:val="24"/>
          <w:szCs w:val="24"/>
        </w:rPr>
        <w:t>_____________________</w:t>
      </w:r>
    </w:p>
    <w:p w:rsidR="002102A5" w:rsidRPr="00A01CD2" w:rsidRDefault="002102A5" w:rsidP="002102A5">
      <w:pPr>
        <w:pStyle w:val="Body"/>
        <w:rPr>
          <w:rFonts w:cs="Times New Roman"/>
          <w:sz w:val="24"/>
          <w:szCs w:val="24"/>
          <w:lang w:val="fr-FR"/>
        </w:rPr>
      </w:pPr>
      <w:r w:rsidRPr="00A01CD2">
        <w:rPr>
          <w:rFonts w:cs="Times New Roman"/>
          <w:sz w:val="24"/>
          <w:szCs w:val="24"/>
          <w:lang w:val="fr-FR"/>
        </w:rPr>
        <w:t xml:space="preserve">T.W. Courvoisier </w:t>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r>
      <w:r w:rsidRPr="00A01CD2">
        <w:rPr>
          <w:rFonts w:cs="Times New Roman"/>
          <w:sz w:val="24"/>
          <w:szCs w:val="24"/>
          <w:lang w:val="fr-FR"/>
        </w:rPr>
        <w:tab/>
        <w:t>D.S. Planck</w:t>
      </w:r>
    </w:p>
    <w:p w:rsidR="002102A5" w:rsidRPr="00A01CD2" w:rsidRDefault="002102A5" w:rsidP="002102A5">
      <w:pPr>
        <w:pStyle w:val="Body"/>
        <w:rPr>
          <w:rFonts w:cs="Times New Roman"/>
          <w:sz w:val="24"/>
          <w:szCs w:val="24"/>
        </w:rPr>
      </w:pPr>
      <w:r w:rsidRPr="00A01CD2">
        <w:rPr>
          <w:rFonts w:cs="Times New Roman"/>
          <w:sz w:val="24"/>
          <w:szCs w:val="24"/>
        </w:rPr>
        <w:t xml:space="preserve">Minister of Foreign Affairs </w:t>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r>
      <w:r w:rsidRPr="00A01CD2">
        <w:rPr>
          <w:rFonts w:cs="Times New Roman"/>
          <w:sz w:val="24"/>
          <w:szCs w:val="24"/>
        </w:rPr>
        <w:tab/>
        <w:t>Minister of Foreign Affairs</w:t>
      </w:r>
    </w:p>
    <w:p w:rsidR="002102A5" w:rsidRPr="00A01CD2" w:rsidRDefault="002102A5" w:rsidP="002102A5">
      <w:pPr>
        <w:rPr>
          <w:color w:val="000000"/>
          <w:u w:val="single" w:color="000000"/>
          <w:lang w:eastAsia="en-GB"/>
        </w:rPr>
      </w:pPr>
      <w:r w:rsidRPr="00A01CD2">
        <w:rPr>
          <w:u w:val="single"/>
        </w:rPr>
        <w:br w:type="page"/>
      </w:r>
    </w:p>
    <w:p w:rsidR="002102A5" w:rsidRPr="00A01CD2" w:rsidRDefault="002102A5" w:rsidP="002102A5">
      <w:pPr>
        <w:pStyle w:val="Body"/>
        <w:jc w:val="center"/>
        <w:rPr>
          <w:rFonts w:cs="Times New Roman"/>
          <w:sz w:val="24"/>
          <w:szCs w:val="24"/>
          <w:u w:val="single"/>
        </w:rPr>
      </w:pPr>
      <w:r w:rsidRPr="00A01CD2">
        <w:rPr>
          <w:rFonts w:cs="Times New Roman"/>
          <w:sz w:val="24"/>
          <w:szCs w:val="24"/>
          <w:u w:val="single"/>
        </w:rPr>
        <w:lastRenderedPageBreak/>
        <w:t>Annex A</w:t>
      </w:r>
    </w:p>
    <w:p w:rsidR="002102A5" w:rsidRPr="00A01CD2" w:rsidRDefault="002102A5" w:rsidP="002102A5">
      <w:pPr>
        <w:pStyle w:val="Body"/>
        <w:rPr>
          <w:rFonts w:cs="Times New Roman"/>
          <w:sz w:val="24"/>
          <w:szCs w:val="24"/>
        </w:rPr>
      </w:pPr>
    </w:p>
    <w:p w:rsidR="002102A5" w:rsidRPr="00A01CD2" w:rsidRDefault="002102A5" w:rsidP="002102A5">
      <w:pPr>
        <w:pStyle w:val="Body"/>
        <w:numPr>
          <w:ilvl w:val="0"/>
          <w:numId w:val="21"/>
        </w:numPr>
        <w:jc w:val="both"/>
        <w:rPr>
          <w:rFonts w:cs="Times New Roman"/>
          <w:sz w:val="24"/>
          <w:szCs w:val="24"/>
        </w:rPr>
      </w:pPr>
      <w:r w:rsidRPr="00A01CD2">
        <w:rPr>
          <w:rFonts w:cs="Times New Roman"/>
          <w:sz w:val="24"/>
          <w:szCs w:val="24"/>
        </w:rPr>
        <w:t xml:space="preserve">The Republic of Westfalia is a sovereign state in north-central Europe </w:t>
      </w:r>
      <w:r>
        <w:rPr>
          <w:rFonts w:cs="Times New Roman"/>
          <w:sz w:val="24"/>
          <w:szCs w:val="24"/>
        </w:rPr>
        <w:t xml:space="preserve">having </w:t>
      </w:r>
      <w:r w:rsidRPr="00A01CD2">
        <w:rPr>
          <w:rFonts w:cs="Times New Roman"/>
          <w:sz w:val="24"/>
          <w:szCs w:val="24"/>
        </w:rPr>
        <w:t xml:space="preserve">a population of 8 million people. Its economy was historically agrarian until a recent boom in technology services, though still a poor nation which </w:t>
      </w:r>
      <w:r>
        <w:rPr>
          <w:rFonts w:cs="Times New Roman"/>
          <w:sz w:val="24"/>
          <w:szCs w:val="24"/>
        </w:rPr>
        <w:t>is</w:t>
      </w:r>
      <w:r w:rsidRPr="00A01CD2">
        <w:rPr>
          <w:rFonts w:cs="Times New Roman"/>
          <w:sz w:val="24"/>
          <w:szCs w:val="24"/>
        </w:rPr>
        <w:t xml:space="preserve"> yet to exploit its oil resources. Proven oil resources (oil in place) exceed 6.75 billion barrels, of which 4.25 billion are recoverable using present technology. The Republic of </w:t>
      </w:r>
      <w:r>
        <w:rPr>
          <w:rFonts w:cs="Times New Roman"/>
          <w:sz w:val="24"/>
          <w:szCs w:val="24"/>
        </w:rPr>
        <w:t xml:space="preserve"> </w:t>
      </w:r>
      <w:r w:rsidRPr="00A01CD2">
        <w:rPr>
          <w:rFonts w:cs="Times New Roman"/>
          <w:sz w:val="24"/>
          <w:szCs w:val="24"/>
        </w:rPr>
        <w:t xml:space="preserve">Westfalia is also home to world’s largest indigenous population in the </w:t>
      </w:r>
      <w:r>
        <w:rPr>
          <w:rFonts w:cs="Times New Roman"/>
          <w:sz w:val="24"/>
          <w:szCs w:val="24"/>
        </w:rPr>
        <w:t>f</w:t>
      </w:r>
      <w:r w:rsidRPr="00A01CD2">
        <w:rPr>
          <w:rFonts w:cs="Times New Roman"/>
          <w:sz w:val="24"/>
          <w:szCs w:val="24"/>
        </w:rPr>
        <w:t xml:space="preserve">orests of Zamazon, called “Filstinos”. This indigenous population has since thousands of years, protected the natural resources all around Republic of Westfalia. The corporate interests of the fossil fuel exploration entities and forest exploitation interests has been crushing the movement of “Filstinos” to protect their indigenous lands. </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numPr>
          <w:ilvl w:val="0"/>
          <w:numId w:val="2"/>
        </w:numPr>
        <w:jc w:val="both"/>
        <w:rPr>
          <w:rFonts w:cs="Times New Roman"/>
          <w:sz w:val="24"/>
          <w:szCs w:val="24"/>
        </w:rPr>
      </w:pPr>
      <w:r w:rsidRPr="00A01CD2">
        <w:rPr>
          <w:rFonts w:cs="Times New Roman"/>
          <w:sz w:val="24"/>
          <w:szCs w:val="24"/>
        </w:rPr>
        <w:t>The State of Eastonia is a sovereign state in Eastern Europe which has a population of 44 million. It is a high-income country mainly due to the success of its fully state-owned oil company, PetroGlobal, which has a market cap of several billion dollars and is the third largest employer in the country. Eastonia's Ministry of Energy and Natural Resources, overseeing PetroGlobal and its international operations. The profits generated by PetroGlobal’s activities are directly transferred, at the end of each financial year to Eastonia’s sovereign pension fund. The PetroGlobal’s contribution to the Eastonia sovereign fund from all around the world</w:t>
      </w:r>
      <w:r>
        <w:rPr>
          <w:rFonts w:cs="Times New Roman"/>
          <w:sz w:val="24"/>
          <w:szCs w:val="24"/>
        </w:rPr>
        <w:t>is</w:t>
      </w:r>
      <w:r w:rsidRPr="00A01CD2">
        <w:rPr>
          <w:rFonts w:cs="Times New Roman"/>
          <w:sz w:val="24"/>
          <w:szCs w:val="24"/>
        </w:rPr>
        <w:t xml:space="preserve"> one of the largest commercial contribution to the sovereign pension fund of Eastonia. Out of the total contribution of PetroGlobal to the sovereign pension fund, from Westfalia, the contribution to the fund is 15%, from Nordway the contribution to the fund is 57% and the rest of the contribution comes fr</w:t>
      </w:r>
      <w:r>
        <w:rPr>
          <w:rFonts w:cs="Times New Roman"/>
          <w:sz w:val="24"/>
          <w:szCs w:val="24"/>
        </w:rPr>
        <w:t>o</w:t>
      </w:r>
      <w:r w:rsidRPr="00A01CD2">
        <w:rPr>
          <w:rFonts w:cs="Times New Roman"/>
          <w:sz w:val="24"/>
          <w:szCs w:val="24"/>
        </w:rPr>
        <w:t xml:space="preserve">m PetroGlobal’s activities from around the globe. </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numPr>
          <w:ilvl w:val="0"/>
          <w:numId w:val="2"/>
        </w:numPr>
        <w:jc w:val="both"/>
        <w:rPr>
          <w:rFonts w:cs="Times New Roman"/>
          <w:sz w:val="24"/>
          <w:szCs w:val="24"/>
        </w:rPr>
      </w:pPr>
      <w:r w:rsidRPr="00A01CD2">
        <w:rPr>
          <w:rFonts w:cs="Times New Roman"/>
          <w:sz w:val="24"/>
          <w:szCs w:val="24"/>
        </w:rPr>
        <w:t xml:space="preserve">In 2011 </w:t>
      </w:r>
      <w:r>
        <w:rPr>
          <w:sz w:val="23"/>
          <w:szCs w:val="23"/>
        </w:rPr>
        <w:t xml:space="preserve">Republic of </w:t>
      </w:r>
      <w:r w:rsidRPr="0031284C">
        <w:rPr>
          <w:sz w:val="23"/>
          <w:szCs w:val="23"/>
        </w:rPr>
        <w:t>Eastonia</w:t>
      </w:r>
      <w:r>
        <w:rPr>
          <w:sz w:val="23"/>
          <w:szCs w:val="23"/>
        </w:rPr>
        <w:t xml:space="preserve">on behalf of its state owned oil company PetroGlobal </w:t>
      </w:r>
      <w:r w:rsidRPr="00A01CD2">
        <w:rPr>
          <w:rFonts w:cs="Times New Roman"/>
          <w:sz w:val="24"/>
          <w:szCs w:val="24"/>
        </w:rPr>
        <w:t xml:space="preserve">signed a bilateral treaty with the Republic of Westfalia, granting it extensive rights to explore and extract oil in the forests of Zamazon and the coasts of Westfalia. The treaty is included in Annexure I. Immediately after signing the treaty, Filistinos protested against the exploration activities in the forests of Zamazon, claiming the Zamazonian forests are the lungs of the Earth and need to </w:t>
      </w:r>
      <w:r>
        <w:rPr>
          <w:rFonts w:cs="Times New Roman"/>
          <w:sz w:val="24"/>
          <w:szCs w:val="24"/>
        </w:rPr>
        <w:t xml:space="preserve">be </w:t>
      </w:r>
      <w:r w:rsidRPr="00A01CD2">
        <w:rPr>
          <w:rFonts w:cs="Times New Roman"/>
          <w:sz w:val="24"/>
          <w:szCs w:val="24"/>
        </w:rPr>
        <w:t>protect</w:t>
      </w:r>
      <w:r>
        <w:rPr>
          <w:rFonts w:cs="Times New Roman"/>
          <w:sz w:val="24"/>
          <w:szCs w:val="24"/>
        </w:rPr>
        <w:t>ed</w:t>
      </w:r>
      <w:r w:rsidRPr="00A01CD2">
        <w:rPr>
          <w:rFonts w:cs="Times New Roman"/>
          <w:sz w:val="24"/>
          <w:szCs w:val="24"/>
        </w:rPr>
        <w:t xml:space="preserve"> at all costs, in order to save the world from climate change and other environmental catastrophes. </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numPr>
          <w:ilvl w:val="0"/>
          <w:numId w:val="2"/>
        </w:numPr>
        <w:jc w:val="both"/>
        <w:rPr>
          <w:rFonts w:cs="Times New Roman"/>
          <w:sz w:val="24"/>
          <w:szCs w:val="24"/>
        </w:rPr>
      </w:pPr>
      <w:r w:rsidRPr="00A01CD2">
        <w:rPr>
          <w:rFonts w:cs="Times New Roman"/>
          <w:sz w:val="24"/>
          <w:szCs w:val="24"/>
        </w:rPr>
        <w:t>In 2012, PetroGlobal initiated its operations, establishing drilling sites, infrastructure, and logistic networks in Zamazonian forests. Their activities led to destruction of 25% of the Zamazonian forests. The initial reports of environmental impacts on the forest and the surface received minimal attention throughout Westfalia and internationally. The Filistinos</w:t>
      </w:r>
      <w:r w:rsidR="00B6157A">
        <w:rPr>
          <w:rFonts w:cs="Times New Roman"/>
          <w:sz w:val="24"/>
          <w:szCs w:val="24"/>
        </w:rPr>
        <w:t xml:space="preserve"> </w:t>
      </w:r>
      <w:r w:rsidRPr="00A01CD2">
        <w:rPr>
          <w:rFonts w:cs="Times New Roman"/>
          <w:sz w:val="24"/>
          <w:szCs w:val="24"/>
        </w:rPr>
        <w:t xml:space="preserve">also strengthened their protests by following the Indian idea of “Chipko movement”, to protect the Zamazonian forest. Thousands of Filistinos each, hugged the tree in order to protect the trees. The Filistino leader made a statement to the Westfalian National Media, that with each tree cut, one Filistino will happily die hugging the tree. </w:t>
      </w:r>
      <w:r>
        <w:rPr>
          <w:rFonts w:cs="Times New Roman"/>
          <w:sz w:val="24"/>
          <w:szCs w:val="24"/>
        </w:rPr>
        <w:t xml:space="preserve">The said protest failed to stop </w:t>
      </w:r>
      <w:r w:rsidRPr="00A01CD2">
        <w:rPr>
          <w:rFonts w:cs="Times New Roman"/>
          <w:sz w:val="24"/>
          <w:szCs w:val="24"/>
        </w:rPr>
        <w:t>PetroGlobal</w:t>
      </w:r>
      <w:r w:rsidR="00B6157A">
        <w:rPr>
          <w:rFonts w:cs="Times New Roman"/>
          <w:sz w:val="24"/>
          <w:szCs w:val="24"/>
        </w:rPr>
        <w:t xml:space="preserve"> </w:t>
      </w:r>
      <w:r>
        <w:rPr>
          <w:rFonts w:cs="Times New Roman"/>
          <w:sz w:val="24"/>
          <w:szCs w:val="24"/>
        </w:rPr>
        <w:t xml:space="preserve">from carrying out its operation resulting into </w:t>
      </w:r>
      <w:r w:rsidRPr="00A01CD2">
        <w:rPr>
          <w:rFonts w:cs="Times New Roman"/>
          <w:sz w:val="24"/>
          <w:szCs w:val="24"/>
        </w:rPr>
        <w:t>injur</w:t>
      </w:r>
      <w:r>
        <w:rPr>
          <w:rFonts w:cs="Times New Roman"/>
          <w:sz w:val="24"/>
          <w:szCs w:val="24"/>
        </w:rPr>
        <w:t>y</w:t>
      </w:r>
      <w:r w:rsidRPr="00A01CD2">
        <w:rPr>
          <w:rFonts w:cs="Times New Roman"/>
          <w:sz w:val="24"/>
          <w:szCs w:val="24"/>
        </w:rPr>
        <w:t xml:space="preserve"> and killing</w:t>
      </w:r>
      <w:r>
        <w:rPr>
          <w:rFonts w:cs="Times New Roman"/>
          <w:sz w:val="24"/>
          <w:szCs w:val="24"/>
        </w:rPr>
        <w:t>s</w:t>
      </w:r>
      <w:r w:rsidR="00B6157A">
        <w:rPr>
          <w:rFonts w:cs="Times New Roman"/>
          <w:sz w:val="24"/>
          <w:szCs w:val="24"/>
        </w:rPr>
        <w:t xml:space="preserve"> </w:t>
      </w:r>
      <w:r w:rsidRPr="00A01CD2">
        <w:rPr>
          <w:rFonts w:cs="Times New Roman"/>
          <w:sz w:val="24"/>
          <w:szCs w:val="24"/>
        </w:rPr>
        <w:t>of Filistino</w:t>
      </w:r>
      <w:r>
        <w:rPr>
          <w:rFonts w:cs="Times New Roman"/>
          <w:sz w:val="24"/>
          <w:szCs w:val="24"/>
        </w:rPr>
        <w:t xml:space="preserve"> which led to the </w:t>
      </w:r>
      <w:r w:rsidRPr="00A01CD2">
        <w:rPr>
          <w:rFonts w:cs="Times New Roman"/>
          <w:sz w:val="24"/>
          <w:szCs w:val="24"/>
        </w:rPr>
        <w:t>increase</w:t>
      </w:r>
      <w:r>
        <w:rPr>
          <w:rFonts w:cs="Times New Roman"/>
          <w:sz w:val="24"/>
          <w:szCs w:val="24"/>
        </w:rPr>
        <w:t xml:space="preserve">in </w:t>
      </w:r>
      <w:r w:rsidRPr="00A01CD2">
        <w:rPr>
          <w:rFonts w:cs="Times New Roman"/>
          <w:sz w:val="24"/>
          <w:szCs w:val="24"/>
        </w:rPr>
        <w:t xml:space="preserve">the tension between PetroGlobal and indigenous population. </w:t>
      </w:r>
      <w:r>
        <w:rPr>
          <w:rFonts w:cs="Times New Roman"/>
          <w:sz w:val="24"/>
          <w:szCs w:val="24"/>
        </w:rPr>
        <w:t>PetroGlobal</w:t>
      </w:r>
      <w:r w:rsidR="00B6157A">
        <w:rPr>
          <w:rFonts w:cs="Times New Roman"/>
          <w:sz w:val="24"/>
          <w:szCs w:val="24"/>
        </w:rPr>
        <w:t xml:space="preserve"> </w:t>
      </w:r>
      <w:r w:rsidRPr="00A01CD2">
        <w:rPr>
          <w:rFonts w:cs="Times New Roman"/>
          <w:sz w:val="24"/>
          <w:szCs w:val="24"/>
        </w:rPr>
        <w:t>continues its work in the coastal areas of Westfalia</w:t>
      </w:r>
      <w:r w:rsidR="00B6157A">
        <w:rPr>
          <w:rFonts w:cs="Times New Roman"/>
          <w:sz w:val="24"/>
          <w:szCs w:val="24"/>
        </w:rPr>
        <w:t xml:space="preserve"> </w:t>
      </w:r>
      <w:r w:rsidRPr="00A01CD2">
        <w:rPr>
          <w:rFonts w:cs="Times New Roman"/>
          <w:sz w:val="24"/>
          <w:szCs w:val="24"/>
        </w:rPr>
        <w:t xml:space="preserve">where there is no report of violenceand the corporation is engaged in peaceful oil drilling, exploration and export. The Filistinos file a criminal case, against the Republic of Eastonia and PetroGlobal before the Supreme Court of Westfalia, alleging that both Republic of Eastonia and PetroGlobal should be held criminally responsible for the widespread and intentional killing of the Filistinos, and hence </w:t>
      </w:r>
      <w:r w:rsidRPr="00A01CD2">
        <w:rPr>
          <w:rFonts w:cs="Times New Roman"/>
          <w:sz w:val="24"/>
          <w:szCs w:val="24"/>
        </w:rPr>
        <w:lastRenderedPageBreak/>
        <w:t xml:space="preserve">Genocide of Filistinos. The Supreme Court of Westfalia, dismissed the case, stating that Westfalia does not have any national law concerning the international crime of Genocide, therefore the national courts of Westfalia are incapable of adjudicating this issue. The Filistinos appealed this judgement and are still fighting the case before the Supreme Court. </w:t>
      </w:r>
    </w:p>
    <w:p w:rsidR="002102A5" w:rsidRPr="00A01CD2" w:rsidRDefault="002102A5" w:rsidP="002102A5">
      <w:pPr>
        <w:pStyle w:val="ListParagraph"/>
      </w:pPr>
    </w:p>
    <w:p w:rsidR="002102A5" w:rsidRPr="00A01CD2" w:rsidRDefault="002102A5" w:rsidP="002102A5">
      <w:pPr>
        <w:pStyle w:val="Body"/>
        <w:ind w:left="360"/>
        <w:jc w:val="both"/>
        <w:rPr>
          <w:rFonts w:cs="Times New Roman"/>
          <w:sz w:val="24"/>
          <w:szCs w:val="24"/>
        </w:rPr>
      </w:pPr>
    </w:p>
    <w:p w:rsidR="002102A5" w:rsidRPr="00A01CD2" w:rsidRDefault="002102A5" w:rsidP="002102A5">
      <w:pPr>
        <w:pStyle w:val="Body"/>
        <w:numPr>
          <w:ilvl w:val="0"/>
          <w:numId w:val="2"/>
        </w:numPr>
        <w:jc w:val="both"/>
        <w:rPr>
          <w:rFonts w:cs="Times New Roman"/>
          <w:sz w:val="24"/>
          <w:szCs w:val="24"/>
        </w:rPr>
      </w:pPr>
      <w:r w:rsidRPr="00A01CD2">
        <w:rPr>
          <w:rFonts w:cs="Times New Roman"/>
          <w:sz w:val="24"/>
          <w:szCs w:val="24"/>
        </w:rPr>
        <w:t>In 2016, however, an oil spill attributed to PetroGlobal, in the west coast of Westfalia impact</w:t>
      </w:r>
      <w:r>
        <w:rPr>
          <w:rFonts w:cs="Times New Roman"/>
          <w:sz w:val="24"/>
          <w:szCs w:val="24"/>
        </w:rPr>
        <w:t>ed</w:t>
      </w:r>
      <w:r w:rsidRPr="00A01CD2">
        <w:rPr>
          <w:rFonts w:cs="Times New Roman"/>
          <w:sz w:val="24"/>
          <w:szCs w:val="24"/>
        </w:rPr>
        <w:t xml:space="preserve"> a significant freshwater source, affecting several villages. PetroGlobal acknowledges the spill but disputes that the oil spill is responsible for the loss of revenue by local farmers and the health problems that local residents complained of, such as dizziness, fatigue, headaches, and kidney cancer. The Filistinos organized a protest at the head office of the PetroGlobal in Westfalia which continued over 50 days. On 51</w:t>
      </w:r>
      <w:r w:rsidRPr="00A01CD2">
        <w:rPr>
          <w:rFonts w:cs="Times New Roman"/>
          <w:sz w:val="24"/>
          <w:szCs w:val="24"/>
          <w:vertAlign w:val="superscript"/>
        </w:rPr>
        <w:t>st</w:t>
      </w:r>
      <w:r w:rsidRPr="00A01CD2">
        <w:rPr>
          <w:rFonts w:cs="Times New Roman"/>
          <w:sz w:val="24"/>
          <w:szCs w:val="24"/>
        </w:rPr>
        <w:t xml:space="preserve"> day of the protest, the PetroGlobal security used </w:t>
      </w:r>
      <w:r w:rsidRPr="00A01CD2">
        <w:rPr>
          <w:rFonts w:cs="Times New Roman"/>
          <w:i/>
          <w:iCs/>
          <w:sz w:val="24"/>
          <w:szCs w:val="24"/>
        </w:rPr>
        <w:t xml:space="preserve">“lathis” </w:t>
      </w:r>
      <w:r w:rsidRPr="00A01CD2">
        <w:rPr>
          <w:rFonts w:cs="Times New Roman"/>
          <w:sz w:val="24"/>
          <w:szCs w:val="24"/>
        </w:rPr>
        <w:t>to disperse the protester. This action of dispersal soon turned violent, injuring several Filistinos and causing the death of two Filistino Leaders. The death of the Filistinos created massive national unrest. In order to resolve the unrest, the PetroGlobal responded by conducting a public awareness campaign about the benefits of their work as a</w:t>
      </w:r>
      <w:r>
        <w:rPr>
          <w:rFonts w:cs="Times New Roman"/>
          <w:sz w:val="24"/>
          <w:szCs w:val="24"/>
        </w:rPr>
        <w:t>n</w:t>
      </w:r>
      <w:r w:rsidRPr="00A01CD2">
        <w:rPr>
          <w:rFonts w:cs="Times New Roman"/>
          <w:sz w:val="24"/>
          <w:szCs w:val="24"/>
        </w:rPr>
        <w:t xml:space="preserve"> oil-exploration corporation and by making a one-time payment of 100,000 USD to the Government of Westfalia</w:t>
      </w:r>
      <w:r>
        <w:rPr>
          <w:rFonts w:cs="Times New Roman"/>
          <w:sz w:val="24"/>
          <w:szCs w:val="24"/>
        </w:rPr>
        <w:t xml:space="preserve"> for the welfare of Filistinos</w:t>
      </w:r>
      <w:r w:rsidR="005B0473">
        <w:rPr>
          <w:rFonts w:cs="Times New Roman"/>
          <w:sz w:val="24"/>
          <w:szCs w:val="24"/>
        </w:rPr>
        <w:t xml:space="preserve"> </w:t>
      </w:r>
      <w:r>
        <w:rPr>
          <w:rFonts w:cs="Times New Roman"/>
          <w:sz w:val="24"/>
          <w:szCs w:val="24"/>
        </w:rPr>
        <w:t>and mitigating any environmental damage caused by such exploration</w:t>
      </w:r>
      <w:r w:rsidRPr="00A01CD2">
        <w:rPr>
          <w:rFonts w:cs="Times New Roman"/>
          <w:sz w:val="24"/>
          <w:szCs w:val="24"/>
        </w:rPr>
        <w:t>. This one-time payment has</w:t>
      </w:r>
      <w:r>
        <w:rPr>
          <w:rFonts w:cs="Times New Roman"/>
          <w:sz w:val="24"/>
          <w:szCs w:val="24"/>
        </w:rPr>
        <w:t xml:space="preserve"> yet not been released to </w:t>
      </w:r>
      <w:r w:rsidRPr="00A01CD2">
        <w:rPr>
          <w:rFonts w:cs="Times New Roman"/>
          <w:sz w:val="24"/>
          <w:szCs w:val="24"/>
        </w:rPr>
        <w:t>the victims.</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numPr>
          <w:ilvl w:val="0"/>
          <w:numId w:val="2"/>
        </w:numPr>
        <w:jc w:val="both"/>
        <w:rPr>
          <w:rFonts w:cs="Times New Roman"/>
          <w:sz w:val="24"/>
          <w:szCs w:val="24"/>
        </w:rPr>
      </w:pPr>
      <w:r w:rsidRPr="00A01CD2">
        <w:rPr>
          <w:rFonts w:cs="Times New Roman"/>
          <w:sz w:val="24"/>
          <w:szCs w:val="24"/>
        </w:rPr>
        <w:t xml:space="preserve">From 2017-2018, incidents of forced displacement are reported </w:t>
      </w:r>
      <w:r w:rsidR="00FD4F79">
        <w:rPr>
          <w:rFonts w:cs="Times New Roman"/>
          <w:sz w:val="24"/>
          <w:szCs w:val="24"/>
        </w:rPr>
        <w:t>in Za</w:t>
      </w:r>
      <w:r w:rsidRPr="00A01CD2">
        <w:rPr>
          <w:rFonts w:cs="Times New Roman"/>
          <w:sz w:val="24"/>
          <w:szCs w:val="24"/>
        </w:rPr>
        <w:t>m</w:t>
      </w:r>
      <w:r w:rsidR="00FD4F79">
        <w:rPr>
          <w:rFonts w:cs="Times New Roman"/>
          <w:sz w:val="24"/>
          <w:szCs w:val="24"/>
        </w:rPr>
        <w:t>o</w:t>
      </w:r>
      <w:r w:rsidRPr="00A01CD2">
        <w:rPr>
          <w:rFonts w:cs="Times New Roman"/>
          <w:sz w:val="24"/>
          <w:szCs w:val="24"/>
        </w:rPr>
        <w:t xml:space="preserve">zonian forest as PetroGlobal expanded their exploration sites. Local protests intensified, including incidents where protestors attempted to storm the extraction facilities of PetroGlobal. These protests were met with violent responses by security forces used by PetroGlobal. Some </w:t>
      </w:r>
      <w:r>
        <w:rPr>
          <w:rFonts w:cs="Times New Roman"/>
          <w:sz w:val="24"/>
          <w:szCs w:val="24"/>
        </w:rPr>
        <w:t xml:space="preserve">unofficial </w:t>
      </w:r>
      <w:r w:rsidRPr="00A01CD2">
        <w:rPr>
          <w:rFonts w:cs="Times New Roman"/>
          <w:sz w:val="24"/>
          <w:szCs w:val="24"/>
        </w:rPr>
        <w:t xml:space="preserve">reports indicated these forces were members of the Eastonian military acting as </w:t>
      </w:r>
      <w:r>
        <w:rPr>
          <w:rFonts w:cs="Times New Roman"/>
          <w:sz w:val="24"/>
          <w:szCs w:val="24"/>
        </w:rPr>
        <w:t xml:space="preserve">a </w:t>
      </w:r>
      <w:r w:rsidRPr="00A01CD2">
        <w:rPr>
          <w:rFonts w:cs="Times New Roman"/>
          <w:sz w:val="24"/>
          <w:szCs w:val="24"/>
        </w:rPr>
        <w:t>private security</w:t>
      </w:r>
      <w:r>
        <w:rPr>
          <w:rFonts w:cs="Times New Roman"/>
          <w:sz w:val="24"/>
          <w:szCs w:val="24"/>
        </w:rPr>
        <w:t xml:space="preserve"> to PetroGobal</w:t>
      </w:r>
      <w:r w:rsidR="005B0473">
        <w:rPr>
          <w:rFonts w:cs="Times New Roman"/>
          <w:sz w:val="24"/>
          <w:szCs w:val="24"/>
        </w:rPr>
        <w:t xml:space="preserve"> </w:t>
      </w:r>
      <w:r w:rsidRPr="00A01CD2">
        <w:rPr>
          <w:rFonts w:cs="Times New Roman"/>
          <w:sz w:val="24"/>
          <w:szCs w:val="24"/>
        </w:rPr>
        <w:t xml:space="preserve">though that has been denied by PetroGlobal. </w:t>
      </w:r>
    </w:p>
    <w:p w:rsidR="002102A5" w:rsidRPr="00A01CD2" w:rsidRDefault="002102A5" w:rsidP="002102A5">
      <w:pPr>
        <w:pStyle w:val="ListParagraph"/>
      </w:pPr>
    </w:p>
    <w:p w:rsidR="002102A5" w:rsidRDefault="002102A5" w:rsidP="002102A5">
      <w:pPr>
        <w:pStyle w:val="Body"/>
        <w:numPr>
          <w:ilvl w:val="0"/>
          <w:numId w:val="2"/>
        </w:numPr>
        <w:jc w:val="both"/>
        <w:rPr>
          <w:rFonts w:cs="Times New Roman"/>
          <w:sz w:val="24"/>
          <w:szCs w:val="24"/>
        </w:rPr>
      </w:pPr>
      <w:r w:rsidRPr="00A01CD2">
        <w:rPr>
          <w:rFonts w:cs="Times New Roman"/>
          <w:sz w:val="24"/>
          <w:szCs w:val="24"/>
        </w:rPr>
        <w:t>In 2018, several Filistinos disappear without a trace. Local activists and International human rights organizations accuse</w:t>
      </w:r>
      <w:r>
        <w:rPr>
          <w:rFonts w:cs="Times New Roman"/>
          <w:sz w:val="24"/>
          <w:szCs w:val="24"/>
        </w:rPr>
        <w:t>d</w:t>
      </w:r>
      <w:r w:rsidR="005B0473">
        <w:rPr>
          <w:rFonts w:cs="Times New Roman"/>
          <w:sz w:val="24"/>
          <w:szCs w:val="24"/>
        </w:rPr>
        <w:t xml:space="preserve"> </w:t>
      </w:r>
      <w:r w:rsidRPr="00A01CD2">
        <w:rPr>
          <w:rFonts w:cs="Times New Roman"/>
          <w:sz w:val="24"/>
          <w:szCs w:val="24"/>
        </w:rPr>
        <w:t xml:space="preserve">PetroGlobal of </w:t>
      </w:r>
      <w:r w:rsidR="005B0473">
        <w:rPr>
          <w:rFonts w:cs="Times New Roman"/>
          <w:sz w:val="24"/>
          <w:szCs w:val="24"/>
        </w:rPr>
        <w:t xml:space="preserve"> </w:t>
      </w:r>
      <w:r w:rsidRPr="00A01CD2">
        <w:rPr>
          <w:rFonts w:cs="Times New Roman"/>
          <w:sz w:val="24"/>
          <w:szCs w:val="24"/>
        </w:rPr>
        <w:t xml:space="preserve">being involved in their disappearance and Genocide of Filistinos. PetroGlobal denies having anything to do with their disappearance; however, a report by an investigative journalism committee shows that at least one </w:t>
      </w:r>
      <w:r>
        <w:rPr>
          <w:rFonts w:cs="Times New Roman"/>
          <w:sz w:val="24"/>
          <w:szCs w:val="24"/>
        </w:rPr>
        <w:t>Filistino</w:t>
      </w:r>
      <w:r w:rsidRPr="00A01CD2">
        <w:rPr>
          <w:rFonts w:cs="Times New Roman"/>
          <w:sz w:val="24"/>
          <w:szCs w:val="24"/>
        </w:rPr>
        <w:t xml:space="preserve">was detained by the security forces of PetroGlobal prior to their disappearance. </w:t>
      </w:r>
      <w:r>
        <w:rPr>
          <w:rFonts w:cs="Times New Roman"/>
          <w:sz w:val="24"/>
          <w:szCs w:val="24"/>
        </w:rPr>
        <w:t xml:space="preserve">The News Channel </w:t>
      </w:r>
      <w:r>
        <w:rPr>
          <w:rFonts w:cs="Times New Roman"/>
          <w:i/>
          <w:iCs/>
          <w:sz w:val="24"/>
          <w:szCs w:val="24"/>
        </w:rPr>
        <w:t>Al-Fakeera</w:t>
      </w:r>
      <w:r>
        <w:rPr>
          <w:rFonts w:cs="Times New Roman"/>
          <w:sz w:val="24"/>
          <w:szCs w:val="24"/>
        </w:rPr>
        <w:t>has also released videos of mass graves, allegedly of Filistinoson land owned by the Government of</w:t>
      </w:r>
      <w:r w:rsidR="005B0473">
        <w:rPr>
          <w:rFonts w:cs="Times New Roman"/>
          <w:sz w:val="24"/>
          <w:szCs w:val="24"/>
        </w:rPr>
        <w:t xml:space="preserve"> </w:t>
      </w:r>
      <w:r>
        <w:rPr>
          <w:rFonts w:cs="Times New Roman"/>
          <w:sz w:val="24"/>
          <w:szCs w:val="24"/>
        </w:rPr>
        <w:t xml:space="preserve"> Eastonia. The Government of Eastonia dismissed these videos as propaganda videos. </w:t>
      </w:r>
      <w:r w:rsidRPr="00A01CD2">
        <w:rPr>
          <w:rFonts w:cs="Times New Roman"/>
          <w:sz w:val="24"/>
          <w:szCs w:val="24"/>
        </w:rPr>
        <w:t>Many Westfalian workers resign</w:t>
      </w:r>
      <w:r>
        <w:rPr>
          <w:rFonts w:cs="Times New Roman"/>
          <w:sz w:val="24"/>
          <w:szCs w:val="24"/>
        </w:rPr>
        <w:t>ed</w:t>
      </w:r>
      <w:r w:rsidRPr="00A01CD2">
        <w:rPr>
          <w:rFonts w:cs="Times New Roman"/>
          <w:sz w:val="24"/>
          <w:szCs w:val="24"/>
        </w:rPr>
        <w:t xml:space="preserve"> in protest of the</w:t>
      </w:r>
      <w:r>
        <w:rPr>
          <w:rFonts w:cs="Times New Roman"/>
          <w:sz w:val="24"/>
          <w:szCs w:val="24"/>
        </w:rPr>
        <w:t>se</w:t>
      </w:r>
      <w:r w:rsidRPr="00A01CD2">
        <w:rPr>
          <w:rFonts w:cs="Times New Roman"/>
          <w:sz w:val="24"/>
          <w:szCs w:val="24"/>
        </w:rPr>
        <w:t xml:space="preserve"> activities. They are quickly replaced by laborers from </w:t>
      </w:r>
      <w:r>
        <w:rPr>
          <w:rFonts w:cs="Times New Roman"/>
          <w:sz w:val="24"/>
          <w:szCs w:val="24"/>
        </w:rPr>
        <w:t>S</w:t>
      </w:r>
      <w:r w:rsidRPr="00A01CD2">
        <w:rPr>
          <w:rFonts w:cs="Times New Roman"/>
          <w:sz w:val="24"/>
          <w:szCs w:val="24"/>
        </w:rPr>
        <w:t>tate of Nordway</w:t>
      </w:r>
      <w:r>
        <w:rPr>
          <w:rFonts w:cs="Times New Roman"/>
          <w:sz w:val="24"/>
          <w:szCs w:val="24"/>
        </w:rPr>
        <w:t xml:space="preserve"> and State of Fordan</w:t>
      </w:r>
      <w:r w:rsidRPr="00A01CD2">
        <w:rPr>
          <w:rFonts w:cs="Times New Roman"/>
          <w:sz w:val="24"/>
          <w:szCs w:val="24"/>
        </w:rPr>
        <w:t>. The workers</w:t>
      </w:r>
      <w:r>
        <w:rPr>
          <w:rFonts w:cs="Times New Roman"/>
          <w:sz w:val="24"/>
          <w:szCs w:val="24"/>
        </w:rPr>
        <w:t xml:space="preserve"> from State of</w:t>
      </w:r>
      <w:r w:rsidR="005B0473">
        <w:rPr>
          <w:rFonts w:cs="Times New Roman"/>
          <w:sz w:val="24"/>
          <w:szCs w:val="24"/>
        </w:rPr>
        <w:t xml:space="preserve"> </w:t>
      </w:r>
      <w:r>
        <w:rPr>
          <w:rFonts w:cs="Times New Roman"/>
          <w:sz w:val="24"/>
          <w:szCs w:val="24"/>
        </w:rPr>
        <w:t xml:space="preserve"> Fordan who</w:t>
      </w:r>
      <w:r w:rsidRPr="00A01CD2">
        <w:rPr>
          <w:rFonts w:cs="Times New Roman"/>
          <w:sz w:val="24"/>
          <w:szCs w:val="24"/>
        </w:rPr>
        <w:t xml:space="preserve"> live on the facility </w:t>
      </w:r>
      <w:r>
        <w:rPr>
          <w:rFonts w:cs="Times New Roman"/>
          <w:sz w:val="24"/>
          <w:szCs w:val="24"/>
        </w:rPr>
        <w:t>have reported that</w:t>
      </w:r>
      <w:r w:rsidRPr="00A01CD2">
        <w:rPr>
          <w:rFonts w:cs="Times New Roman"/>
          <w:sz w:val="24"/>
          <w:szCs w:val="24"/>
        </w:rPr>
        <w:t xml:space="preserve"> they were acquired and ‘employed’ through methods of human trafficking and forced labor. </w:t>
      </w:r>
      <w:r>
        <w:rPr>
          <w:rFonts w:cs="Times New Roman"/>
          <w:sz w:val="24"/>
          <w:szCs w:val="24"/>
        </w:rPr>
        <w:t>Ninety percent of Laborers from State of Fordan</w:t>
      </w:r>
      <w:r w:rsidR="005B0473">
        <w:rPr>
          <w:rFonts w:cs="Times New Roman"/>
          <w:sz w:val="24"/>
          <w:szCs w:val="24"/>
        </w:rPr>
        <w:t xml:space="preserve"> </w:t>
      </w:r>
      <w:r>
        <w:rPr>
          <w:rFonts w:cs="Times New Roman"/>
          <w:sz w:val="24"/>
          <w:szCs w:val="24"/>
        </w:rPr>
        <w:t xml:space="preserve">belongs to “Filistino” Tribe, and their ancestors came from the Westfalian Tribe of Filistino. </w:t>
      </w:r>
      <w:r w:rsidRPr="00A01CD2">
        <w:rPr>
          <w:rFonts w:cs="Times New Roman"/>
          <w:sz w:val="24"/>
          <w:szCs w:val="24"/>
        </w:rPr>
        <w:t>PetroGlobal d</w:t>
      </w:r>
      <w:r>
        <w:rPr>
          <w:rFonts w:cs="Times New Roman"/>
          <w:sz w:val="24"/>
          <w:szCs w:val="24"/>
        </w:rPr>
        <w:t xml:space="preserve">ismissed such </w:t>
      </w:r>
      <w:r w:rsidRPr="00A01CD2">
        <w:rPr>
          <w:rFonts w:cs="Times New Roman"/>
          <w:sz w:val="24"/>
          <w:szCs w:val="24"/>
        </w:rPr>
        <w:t>claims</w:t>
      </w:r>
      <w:r w:rsidR="005B0473">
        <w:rPr>
          <w:rFonts w:cs="Times New Roman"/>
          <w:sz w:val="24"/>
          <w:szCs w:val="24"/>
        </w:rPr>
        <w:t xml:space="preserve"> </w:t>
      </w:r>
      <w:r>
        <w:rPr>
          <w:rFonts w:cs="Times New Roman"/>
          <w:sz w:val="24"/>
          <w:szCs w:val="24"/>
        </w:rPr>
        <w:t>for want of sufficient proof and stated</w:t>
      </w:r>
      <w:r w:rsidR="005B0473">
        <w:rPr>
          <w:rFonts w:cs="Times New Roman"/>
          <w:sz w:val="24"/>
          <w:szCs w:val="24"/>
        </w:rPr>
        <w:t xml:space="preserve"> </w:t>
      </w:r>
      <w:r>
        <w:rPr>
          <w:rFonts w:cs="Times New Roman"/>
          <w:sz w:val="24"/>
          <w:szCs w:val="24"/>
        </w:rPr>
        <w:t>such claims as propoganda, co-incidence, or lies</w:t>
      </w:r>
      <w:r w:rsidR="005B0473">
        <w:rPr>
          <w:rFonts w:cs="Times New Roman"/>
          <w:sz w:val="24"/>
          <w:szCs w:val="24"/>
        </w:rPr>
        <w:t xml:space="preserve"> </w:t>
      </w:r>
      <w:r>
        <w:rPr>
          <w:rFonts w:cs="Times New Roman"/>
          <w:sz w:val="24"/>
          <w:szCs w:val="24"/>
        </w:rPr>
        <w:t>placed by the rival parties</w:t>
      </w:r>
      <w:r w:rsidRPr="00A01CD2">
        <w:rPr>
          <w:rFonts w:cs="Times New Roman"/>
          <w:sz w:val="24"/>
          <w:szCs w:val="24"/>
        </w:rPr>
        <w:t>.</w:t>
      </w:r>
      <w:r>
        <w:rPr>
          <w:rFonts w:cs="Times New Roman"/>
          <w:sz w:val="24"/>
          <w:szCs w:val="24"/>
        </w:rPr>
        <w:t xml:space="preserve">The Filistinos of Westfalia, in January 2020, requested the Westfalian Government to investigate “Genocidal intent and conduct by PetroGlobal from 2011 to 2020”. The Government set up a committee, which found in December 2020, that “there was no evidence of genocidal intent or conduct by PetroGlobal” and “PetroGlobal cannot be held liable for deaths and injuries caused to the Filistinos between 2011 to 2020. PetroGlobal operations have led to the economic development of Westfalia”. </w:t>
      </w:r>
      <w:r w:rsidRPr="00A01CD2">
        <w:rPr>
          <w:rFonts w:cs="Times New Roman"/>
          <w:sz w:val="24"/>
          <w:szCs w:val="24"/>
        </w:rPr>
        <w:t>From 2017-2018,</w:t>
      </w:r>
      <w:r>
        <w:rPr>
          <w:rFonts w:cs="Times New Roman"/>
          <w:sz w:val="24"/>
          <w:szCs w:val="24"/>
        </w:rPr>
        <w:t xml:space="preserve"> increased</w:t>
      </w:r>
      <w:r w:rsidRPr="00A01CD2">
        <w:rPr>
          <w:rFonts w:cs="Times New Roman"/>
          <w:sz w:val="24"/>
          <w:szCs w:val="24"/>
        </w:rPr>
        <w:t xml:space="preserve"> incidents of forced </w:t>
      </w:r>
      <w:r w:rsidRPr="00A01CD2">
        <w:rPr>
          <w:rFonts w:cs="Times New Roman"/>
          <w:sz w:val="24"/>
          <w:szCs w:val="24"/>
        </w:rPr>
        <w:lastRenderedPageBreak/>
        <w:t>displacement are reported as PetroGlobal expanded their exploration sites. Local protests intensif</w:t>
      </w:r>
      <w:r>
        <w:rPr>
          <w:rFonts w:cs="Times New Roman"/>
          <w:sz w:val="24"/>
          <w:szCs w:val="24"/>
        </w:rPr>
        <w:t>y</w:t>
      </w:r>
      <w:r w:rsidRPr="00A01CD2">
        <w:rPr>
          <w:rFonts w:cs="Times New Roman"/>
          <w:sz w:val="24"/>
          <w:szCs w:val="24"/>
        </w:rPr>
        <w:t xml:space="preserve">, including incidents where protestors attempted to storm the extraction facilities of PetroGlobal. These protests were </w:t>
      </w:r>
      <w:r>
        <w:rPr>
          <w:rFonts w:cs="Times New Roman"/>
          <w:sz w:val="24"/>
          <w:szCs w:val="24"/>
        </w:rPr>
        <w:t>again</w:t>
      </w:r>
      <w:r w:rsidRPr="00A01CD2">
        <w:rPr>
          <w:rFonts w:cs="Times New Roman"/>
          <w:sz w:val="24"/>
          <w:szCs w:val="24"/>
        </w:rPr>
        <w:t xml:space="preserve">met with violent responses by security forces used by PetroGlobal. </w:t>
      </w:r>
      <w:r>
        <w:rPr>
          <w:rFonts w:cs="Times New Roman"/>
          <w:sz w:val="24"/>
          <w:szCs w:val="24"/>
        </w:rPr>
        <w:t xml:space="preserve">Media reports by </w:t>
      </w:r>
      <w:r>
        <w:rPr>
          <w:rFonts w:cs="Times New Roman"/>
          <w:i/>
          <w:iCs/>
          <w:sz w:val="24"/>
          <w:szCs w:val="24"/>
        </w:rPr>
        <w:t>Al-fakira</w:t>
      </w:r>
      <w:r>
        <w:rPr>
          <w:rFonts w:cs="Times New Roman"/>
          <w:sz w:val="24"/>
          <w:szCs w:val="24"/>
        </w:rPr>
        <w:t>, and social media videos</w:t>
      </w:r>
      <w:r w:rsidR="00FD4F79">
        <w:rPr>
          <w:rFonts w:cs="Times New Roman"/>
          <w:sz w:val="24"/>
          <w:szCs w:val="24"/>
        </w:rPr>
        <w:t xml:space="preserve"> </w:t>
      </w:r>
      <w:r>
        <w:rPr>
          <w:rFonts w:cs="Times New Roman"/>
          <w:sz w:val="24"/>
          <w:szCs w:val="24"/>
        </w:rPr>
        <w:t xml:space="preserve">alleged </w:t>
      </w:r>
      <w:r w:rsidRPr="00A01CD2">
        <w:rPr>
          <w:rFonts w:cs="Times New Roman"/>
          <w:sz w:val="24"/>
          <w:szCs w:val="24"/>
        </w:rPr>
        <w:t xml:space="preserve">these forces </w:t>
      </w:r>
      <w:r>
        <w:rPr>
          <w:rFonts w:cs="Times New Roman"/>
          <w:sz w:val="24"/>
          <w:szCs w:val="24"/>
        </w:rPr>
        <w:t xml:space="preserve">as </w:t>
      </w:r>
      <w:r w:rsidRPr="00A01CD2">
        <w:rPr>
          <w:rFonts w:cs="Times New Roman"/>
          <w:sz w:val="24"/>
          <w:szCs w:val="24"/>
        </w:rPr>
        <w:t>members of the Eastonian military acting as private security</w:t>
      </w:r>
      <w:r>
        <w:rPr>
          <w:rFonts w:cs="Times New Roman"/>
          <w:sz w:val="24"/>
          <w:szCs w:val="24"/>
        </w:rPr>
        <w:t xml:space="preserve"> which was </w:t>
      </w:r>
      <w:r w:rsidRPr="00A01CD2">
        <w:rPr>
          <w:rFonts w:cs="Times New Roman"/>
          <w:sz w:val="24"/>
          <w:szCs w:val="24"/>
        </w:rPr>
        <w:t>denied by PetroGlobal.</w:t>
      </w:r>
    </w:p>
    <w:p w:rsidR="002102A5" w:rsidRDefault="002102A5" w:rsidP="002102A5">
      <w:pPr>
        <w:pStyle w:val="Body"/>
        <w:ind w:left="360"/>
        <w:jc w:val="both"/>
        <w:rPr>
          <w:rFonts w:cs="Times New Roman"/>
          <w:sz w:val="24"/>
          <w:szCs w:val="24"/>
        </w:rPr>
      </w:pPr>
    </w:p>
    <w:p w:rsidR="002102A5" w:rsidRPr="00A01CD2" w:rsidRDefault="002102A5" w:rsidP="002102A5">
      <w:pPr>
        <w:pStyle w:val="Default"/>
        <w:numPr>
          <w:ilvl w:val="0"/>
          <w:numId w:val="2"/>
        </w:numPr>
        <w:jc w:val="both"/>
        <w:rPr>
          <w:rFonts w:eastAsia="Arial Unicode MS"/>
        </w:rPr>
      </w:pPr>
      <w:r w:rsidRPr="00A01CD2">
        <w:rPr>
          <w:rFonts w:eastAsia="Arial Unicode MS"/>
        </w:rPr>
        <w:t>In early 2019, the victims</w:t>
      </w:r>
      <w:r>
        <w:rPr>
          <w:rFonts w:eastAsia="Arial Unicode MS"/>
        </w:rPr>
        <w:t xml:space="preserve"> of oil spill along with the victims of the Filistino tribe</w:t>
      </w:r>
      <w:r w:rsidRPr="00A01CD2">
        <w:rPr>
          <w:rFonts w:eastAsia="Arial Unicode MS"/>
        </w:rPr>
        <w:t>, supported by international legal advocacy group</w:t>
      </w:r>
      <w:r>
        <w:rPr>
          <w:rFonts w:eastAsia="Arial Unicode MS"/>
        </w:rPr>
        <w:t xml:space="preserve"> called ‘Hoooman Rights Intra-national’</w:t>
      </w:r>
      <w:r w:rsidRPr="00A01CD2">
        <w:rPr>
          <w:rFonts w:eastAsia="Arial Unicode MS"/>
        </w:rPr>
        <w:t xml:space="preserve"> attempted to file lawsuits before the Court at Westfalia</w:t>
      </w:r>
      <w:r>
        <w:rPr>
          <w:rFonts w:eastAsia="Arial Unicode MS"/>
        </w:rPr>
        <w:t>, alleging Genocide and environmental and other human rights violations.The group</w:t>
      </w:r>
      <w:r w:rsidRPr="00A01CD2">
        <w:rPr>
          <w:rFonts w:eastAsia="Arial Unicode MS"/>
        </w:rPr>
        <w:t xml:space="preserve"> face</w:t>
      </w:r>
      <w:r>
        <w:rPr>
          <w:rFonts w:eastAsia="Arial Unicode MS"/>
        </w:rPr>
        <w:t>d</w:t>
      </w:r>
      <w:r w:rsidRPr="00A01CD2">
        <w:rPr>
          <w:rFonts w:eastAsia="Arial Unicode MS"/>
        </w:rPr>
        <w:t xml:space="preserve"> legal and political hurdles, including claims that the treaty's arbitration clause precludes domestic legal action. </w:t>
      </w:r>
      <w:r>
        <w:rPr>
          <w:rFonts w:eastAsia="Arial Unicode MS"/>
        </w:rPr>
        <w:t xml:space="preserve">The group argued that the arbitration clause does not govern </w:t>
      </w:r>
      <w:r>
        <w:rPr>
          <w:rFonts w:eastAsia="Arial Unicode MS"/>
          <w:i/>
          <w:iCs/>
        </w:rPr>
        <w:t xml:space="preserve">jus cogens </w:t>
      </w:r>
      <w:r>
        <w:rPr>
          <w:rFonts w:eastAsia="Arial Unicode MS"/>
        </w:rPr>
        <w:t>norms violations like Genocide, however, the Supreme Court of Westfalia</w:t>
      </w:r>
      <w:r w:rsidR="00FD4F79">
        <w:rPr>
          <w:rFonts w:eastAsia="Arial Unicode MS"/>
        </w:rPr>
        <w:t xml:space="preserve"> </w:t>
      </w:r>
      <w:r>
        <w:rPr>
          <w:rFonts w:eastAsia="Arial Unicode MS"/>
        </w:rPr>
        <w:t xml:space="preserve">by a majority judgement </w:t>
      </w:r>
      <w:r w:rsidRPr="00524DE1">
        <w:rPr>
          <w:rFonts w:eastAsia="Arial Unicode MS"/>
        </w:rPr>
        <w:t>dismissed their claims.</w:t>
      </w:r>
      <w:r w:rsidR="00FD4F79">
        <w:rPr>
          <w:rFonts w:eastAsia="Arial Unicode MS"/>
        </w:rPr>
        <w:t xml:space="preserve"> </w:t>
      </w:r>
      <w:r w:rsidR="005B0473">
        <w:rPr>
          <w:rFonts w:eastAsia="Arial Unicode MS"/>
        </w:rPr>
        <w:t xml:space="preserve">One Westfalian Judge, </w:t>
      </w:r>
      <w:r>
        <w:rPr>
          <w:rFonts w:eastAsia="Arial Unicode MS"/>
        </w:rPr>
        <w:t>in his dissenting opinion was of the view that there are evidence</w:t>
      </w:r>
      <w:r w:rsidR="00FD4F79">
        <w:rPr>
          <w:rFonts w:eastAsia="Arial Unicode MS"/>
        </w:rPr>
        <w:t>s</w:t>
      </w:r>
      <w:r>
        <w:rPr>
          <w:rFonts w:eastAsia="Arial Unicode MS"/>
        </w:rPr>
        <w:t xml:space="preserve"> of genocidal intent and conduct in form of media reports, public statements of Victims, the statements and actions of the PetroGlobal security officers which requires consideration.</w:t>
      </w:r>
    </w:p>
    <w:p w:rsidR="002102A5" w:rsidRPr="00A01CD2" w:rsidRDefault="002102A5" w:rsidP="002102A5">
      <w:pPr>
        <w:pStyle w:val="Default"/>
        <w:ind w:left="360"/>
        <w:jc w:val="both"/>
        <w:rPr>
          <w:rFonts w:eastAsia="Arial Unicode MS"/>
        </w:rPr>
      </w:pPr>
    </w:p>
    <w:p w:rsidR="002102A5" w:rsidRPr="00A01CD2" w:rsidRDefault="002102A5" w:rsidP="002102A5">
      <w:pPr>
        <w:pStyle w:val="Default"/>
        <w:numPr>
          <w:ilvl w:val="0"/>
          <w:numId w:val="2"/>
        </w:numPr>
        <w:jc w:val="both"/>
        <w:rPr>
          <w:rFonts w:eastAsia="Arial Unicode MS"/>
        </w:rPr>
      </w:pPr>
      <w:r w:rsidRPr="00A01CD2">
        <w:rPr>
          <w:rFonts w:eastAsia="Arial Unicode MS"/>
        </w:rPr>
        <w:t xml:space="preserve">In late 2019, attempts to initiate arbitration </w:t>
      </w:r>
      <w:r>
        <w:rPr>
          <w:rFonts w:eastAsia="Arial Unicode MS"/>
        </w:rPr>
        <w:t xml:space="preserve">were </w:t>
      </w:r>
      <w:r w:rsidRPr="00A01CD2">
        <w:rPr>
          <w:rFonts w:eastAsia="Arial Unicode MS"/>
        </w:rPr>
        <w:t>made by the victims</w:t>
      </w:r>
      <w:r>
        <w:rPr>
          <w:rFonts w:eastAsia="Arial Unicode MS"/>
        </w:rPr>
        <w:t xml:space="preserve"> which was resisted by </w:t>
      </w:r>
      <w:r w:rsidRPr="00A01CD2">
        <w:rPr>
          <w:rFonts w:eastAsia="Arial Unicode MS"/>
        </w:rPr>
        <w:t>Eastonia and PetroGlobal</w:t>
      </w:r>
      <w:r w:rsidR="00FD4F79">
        <w:rPr>
          <w:rFonts w:eastAsia="Arial Unicode MS"/>
        </w:rPr>
        <w:t xml:space="preserve"> </w:t>
      </w:r>
      <w:r>
        <w:rPr>
          <w:rFonts w:eastAsia="Arial Unicode MS"/>
        </w:rPr>
        <w:t xml:space="preserve">questioning the </w:t>
      </w:r>
      <w:r w:rsidRPr="00A01CD2">
        <w:rPr>
          <w:rFonts w:eastAsia="Arial Unicode MS"/>
        </w:rPr>
        <w:t xml:space="preserve">rights of the victims to invoke the arbitration jurisdiction provided under the treaty as well as the admissibility of the claims citing sovereign immunity and the acts of governmental nature. </w:t>
      </w:r>
      <w:r>
        <w:rPr>
          <w:rFonts w:eastAsia="Arial Unicode MS"/>
        </w:rPr>
        <w:t xml:space="preserve">Eastonia and PetroGlobal also argued that the issues concerning Genocide cannot be a subject matter of arbitration proceedings. </w:t>
      </w:r>
    </w:p>
    <w:p w:rsidR="002102A5" w:rsidRPr="00A01CD2" w:rsidRDefault="002102A5" w:rsidP="002102A5">
      <w:pPr>
        <w:pStyle w:val="ListParagraph"/>
        <w:jc w:val="both"/>
      </w:pPr>
    </w:p>
    <w:p w:rsidR="002102A5" w:rsidRPr="009903AC" w:rsidRDefault="002102A5" w:rsidP="002102A5">
      <w:pPr>
        <w:pStyle w:val="Default"/>
        <w:numPr>
          <w:ilvl w:val="0"/>
          <w:numId w:val="2"/>
        </w:numPr>
        <w:jc w:val="both"/>
        <w:rPr>
          <w:rFonts w:eastAsia="Arial Unicode MS"/>
        </w:rPr>
      </w:pPr>
      <w:r w:rsidRPr="00A01CD2">
        <w:rPr>
          <w:rFonts w:eastAsia="Arial Unicode MS"/>
        </w:rPr>
        <w:t>In early 2020, the victims having faced the deadlock in Westfalian courts and in arbitration, sought a new legal avenue by invoking the jurisdiction of the Courts of the Republic of Nordway as there are large assets of the Republic of Eastonia within the Republic of Nordway.</w:t>
      </w:r>
      <w:r w:rsidRPr="009903AC">
        <w:rPr>
          <w:rFonts w:eastAsia="Arial Unicode MS"/>
        </w:rPr>
        <w:t xml:space="preserve">The Republic of Nordway is a coastal northern European state with a history of positive diplomatic relations with both Eastonia and Westfalia. It is a signatory to the United Nations Convention on Jurisdictional Immunities of States and Their Property. </w:t>
      </w:r>
    </w:p>
    <w:p w:rsidR="002102A5" w:rsidRPr="00A01CD2" w:rsidRDefault="002102A5" w:rsidP="002102A5">
      <w:pPr>
        <w:pStyle w:val="ListParagraph"/>
        <w:jc w:val="both"/>
      </w:pPr>
    </w:p>
    <w:p w:rsidR="002102A5" w:rsidRPr="00A01CD2" w:rsidRDefault="002102A5" w:rsidP="002102A5">
      <w:pPr>
        <w:pStyle w:val="Default"/>
        <w:numPr>
          <w:ilvl w:val="0"/>
          <w:numId w:val="2"/>
        </w:numPr>
        <w:jc w:val="both"/>
        <w:rPr>
          <w:rFonts w:eastAsia="Arial Unicode MS"/>
        </w:rPr>
      </w:pPr>
      <w:r w:rsidRPr="00A01CD2">
        <w:rPr>
          <w:rFonts w:eastAsia="Arial Unicode MS"/>
        </w:rPr>
        <w:t>In late 2020, a comprehensive legal claim is filed by the victims before the Courts of Nordway against the Republic of Eastonia and Petroglobal</w:t>
      </w:r>
      <w:r>
        <w:rPr>
          <w:rFonts w:eastAsia="Arial Unicode MS"/>
        </w:rPr>
        <w:t xml:space="preserve">. The victims seek reparation and criminal responsibility of PetroGlobal management and officers in command for Genocide of the Filistinos in Westfalia. The victims also </w:t>
      </w:r>
      <w:r w:rsidRPr="00A01CD2">
        <w:rPr>
          <w:rFonts w:eastAsia="Arial Unicode MS"/>
        </w:rPr>
        <w:t>s</w:t>
      </w:r>
      <w:r>
        <w:rPr>
          <w:rFonts w:eastAsia="Arial Unicode MS"/>
        </w:rPr>
        <w:t>ought</w:t>
      </w:r>
      <w:r w:rsidR="00FD4F79">
        <w:rPr>
          <w:rFonts w:eastAsia="Arial Unicode MS"/>
        </w:rPr>
        <w:t xml:space="preserve"> </w:t>
      </w:r>
      <w:r w:rsidRPr="00A01CD2">
        <w:rPr>
          <w:rFonts w:eastAsia="Arial Unicode MS"/>
        </w:rPr>
        <w:t xml:space="preserve">damages and injunction against PetroGlobal's operations in the </w:t>
      </w:r>
      <w:r>
        <w:rPr>
          <w:rFonts w:eastAsia="Arial Unicode MS"/>
        </w:rPr>
        <w:t xml:space="preserve">State of </w:t>
      </w:r>
      <w:r w:rsidRPr="00A01CD2">
        <w:rPr>
          <w:rFonts w:eastAsia="Arial Unicode MS"/>
        </w:rPr>
        <w:t>W</w:t>
      </w:r>
      <w:r>
        <w:rPr>
          <w:rFonts w:eastAsia="Arial Unicode MS"/>
        </w:rPr>
        <w:t>est</w:t>
      </w:r>
      <w:r w:rsidRPr="00A01CD2">
        <w:rPr>
          <w:rFonts w:eastAsia="Arial Unicode MS"/>
        </w:rPr>
        <w:t>falia. The victims argue</w:t>
      </w:r>
      <w:r>
        <w:rPr>
          <w:rFonts w:eastAsia="Arial Unicode MS"/>
        </w:rPr>
        <w:t>d</w:t>
      </w:r>
      <w:r w:rsidRPr="00A01CD2">
        <w:rPr>
          <w:rFonts w:eastAsia="Arial Unicode MS"/>
        </w:rPr>
        <w:t xml:space="preserve"> that the gravity of </w:t>
      </w:r>
      <w:r w:rsidRPr="009903AC">
        <w:rPr>
          <w:rFonts w:eastAsia="Arial Unicode MS"/>
          <w:i/>
          <w:iCs/>
        </w:rPr>
        <w:t>jus cogens</w:t>
      </w:r>
      <w:r w:rsidRPr="00A01CD2">
        <w:rPr>
          <w:rFonts w:eastAsia="Arial Unicode MS"/>
        </w:rPr>
        <w:t xml:space="preserve"> violations permits legal action before the courts in Nordway, notwithstanding the </w:t>
      </w:r>
      <w:r>
        <w:rPr>
          <w:rFonts w:eastAsia="Arial Unicode MS"/>
        </w:rPr>
        <w:t>a</w:t>
      </w:r>
      <w:r w:rsidRPr="00A01CD2">
        <w:rPr>
          <w:rFonts w:eastAsia="Arial Unicode MS"/>
        </w:rPr>
        <w:t>rbitration clause</w:t>
      </w:r>
      <w:r>
        <w:rPr>
          <w:rFonts w:eastAsia="Arial Unicode MS"/>
        </w:rPr>
        <w:t xml:space="preserve"> provided under the treaty</w:t>
      </w:r>
      <w:r w:rsidRPr="00A01CD2">
        <w:rPr>
          <w:rFonts w:eastAsia="Arial Unicode MS"/>
        </w:rPr>
        <w:t xml:space="preserve">. The Eastonian Minister of Energy and Natural Resources </w:t>
      </w:r>
      <w:r w:rsidR="00FD4F79">
        <w:rPr>
          <w:rFonts w:eastAsia="Arial Unicode MS"/>
        </w:rPr>
        <w:t>didn’t submit</w:t>
      </w:r>
      <w:r>
        <w:rPr>
          <w:rFonts w:eastAsia="Arial Unicode MS"/>
        </w:rPr>
        <w:t xml:space="preserve"> to the j</w:t>
      </w:r>
      <w:r w:rsidR="00FD4F79">
        <w:rPr>
          <w:rFonts w:eastAsia="Arial Unicode MS"/>
        </w:rPr>
        <w:t>urisdiction of the Court and ch</w:t>
      </w:r>
      <w:r>
        <w:rPr>
          <w:rFonts w:eastAsia="Arial Unicode MS"/>
        </w:rPr>
        <w:t xml:space="preserve">ose not to appear </w:t>
      </w:r>
      <w:r w:rsidRPr="00A01CD2">
        <w:rPr>
          <w:rFonts w:eastAsia="Arial Unicode MS"/>
        </w:rPr>
        <w:t>before the Court stating that the actions of the company were protected by Jurisdictional Immunity as acts of</w:t>
      </w:r>
      <w:r w:rsidR="00FD4F79">
        <w:rPr>
          <w:rFonts w:eastAsia="Arial Unicode MS"/>
        </w:rPr>
        <w:t xml:space="preserve"> </w:t>
      </w:r>
      <w:r w:rsidRPr="00A01CD2">
        <w:rPr>
          <w:rFonts w:eastAsia="Arial Unicode MS"/>
        </w:rPr>
        <w:t xml:space="preserve"> </w:t>
      </w:r>
      <w:r w:rsidRPr="00A01CD2">
        <w:rPr>
          <w:rFonts w:eastAsia="Arial Unicode MS"/>
          <w:i/>
          <w:iCs/>
        </w:rPr>
        <w:t>jure imperii</w:t>
      </w:r>
      <w:r>
        <w:rPr>
          <w:rFonts w:eastAsia="Arial Unicode MS"/>
        </w:rPr>
        <w:t xml:space="preserve"> and actions in Westfalia are subject matter of “commercial transactions between the State of Westfalia and State of Eastonia”</w:t>
      </w:r>
      <w:r w:rsidR="00FD4F79">
        <w:rPr>
          <w:rFonts w:eastAsia="Arial Unicode MS"/>
        </w:rPr>
        <w:t xml:space="preserve"> </w:t>
      </w:r>
      <w:r>
        <w:rPr>
          <w:rFonts w:eastAsia="Arial Unicode MS"/>
        </w:rPr>
        <w:t xml:space="preserve">therefore, covered under the jurisdictional immunities of the UN Convention on Jurisdictional Immunities of States and their Properties, 2004. On the other hand, victims argued that assests of PetroGlobal are not a commercial transaction protected under the sovereign immunity provisions of the UN Convention on Jurisdictional Immunities of States and their Properties, 2004. The lawyers of the victims also argued that the personal </w:t>
      </w:r>
      <w:r>
        <w:rPr>
          <w:rFonts w:eastAsia="Arial Unicode MS"/>
        </w:rPr>
        <w:lastRenderedPageBreak/>
        <w:t>assets of the Minister of Energy and Natural Resources of the Republic of Eastonia should also be utilized to pay the victims and that these assets are not covered under the immunities granted under the customary international law on diplomatic immunities and the Vienna Convention on Consular Relations, 1963.</w:t>
      </w:r>
    </w:p>
    <w:p w:rsidR="002102A5" w:rsidRPr="00A01CD2" w:rsidRDefault="002102A5" w:rsidP="002102A5">
      <w:pPr>
        <w:pStyle w:val="ListParagraph"/>
        <w:jc w:val="both"/>
      </w:pPr>
    </w:p>
    <w:p w:rsidR="002102A5" w:rsidRPr="00A01CD2" w:rsidRDefault="002102A5" w:rsidP="002102A5">
      <w:pPr>
        <w:pStyle w:val="Default"/>
        <w:numPr>
          <w:ilvl w:val="0"/>
          <w:numId w:val="2"/>
        </w:numPr>
        <w:jc w:val="both"/>
        <w:rPr>
          <w:rFonts w:eastAsia="Arial Unicode MS"/>
        </w:rPr>
      </w:pPr>
      <w:r w:rsidRPr="00A01CD2">
        <w:rPr>
          <w:rFonts w:eastAsia="Arial Unicode MS"/>
        </w:rPr>
        <w:t xml:space="preserve">In 2021, the Nordway Courts decided the case in favour of the Westfalian victims </w:t>
      </w:r>
      <w:r>
        <w:rPr>
          <w:rFonts w:eastAsia="Arial Unicode MS"/>
        </w:rPr>
        <w:t>and in the absence of Estonia and PetroGlobal</w:t>
      </w:r>
      <w:r w:rsidR="00FD4F79">
        <w:rPr>
          <w:rFonts w:eastAsia="Arial Unicode MS"/>
        </w:rPr>
        <w:t xml:space="preserve"> </w:t>
      </w:r>
      <w:r w:rsidRPr="00A01CD2">
        <w:rPr>
          <w:rFonts w:eastAsia="Arial Unicode MS"/>
        </w:rPr>
        <w:t xml:space="preserve">giving a finding of fact that PetroGlobal violated </w:t>
      </w:r>
      <w:r>
        <w:rPr>
          <w:rFonts w:eastAsia="Arial Unicode MS"/>
        </w:rPr>
        <w:t xml:space="preserve">several </w:t>
      </w:r>
      <w:r w:rsidRPr="00A01CD2">
        <w:rPr>
          <w:rFonts w:eastAsia="Arial Unicode MS"/>
        </w:rPr>
        <w:t>international and jus cogens norms such as the prohibition of enforced disappearances, forced labour, human trafficking, the right to a clean environment, and negligence. Accordingly, PetroGlobal</w:t>
      </w:r>
      <w:r w:rsidR="00FD4F79">
        <w:rPr>
          <w:rFonts w:eastAsia="Arial Unicode MS"/>
        </w:rPr>
        <w:t xml:space="preserve"> </w:t>
      </w:r>
      <w:r>
        <w:rPr>
          <w:rFonts w:eastAsia="Arial Unicode MS"/>
        </w:rPr>
        <w:t>was</w:t>
      </w:r>
      <w:r w:rsidRPr="00A01CD2">
        <w:rPr>
          <w:rFonts w:eastAsia="Arial Unicode MS"/>
        </w:rPr>
        <w:t xml:space="preserve"> ordered to pay damages to the tune of 75 Million US Dollars to the families of the victims. The decision of the court is final as the parties have not challenged the judgement. </w:t>
      </w:r>
      <w:r>
        <w:rPr>
          <w:rFonts w:eastAsia="Arial Unicode MS"/>
        </w:rPr>
        <w:t>On the allegation of Genocide, the Nordway Court held that “</w:t>
      </w:r>
      <w:r w:rsidRPr="00524DE1">
        <w:rPr>
          <w:rFonts w:eastAsia="Arial Unicode MS"/>
          <w:i/>
          <w:iCs/>
        </w:rPr>
        <w:t>there is a strong evidence genocidal intent and conduct by the managing officers of the PetroGlobal. However, the court refused to pass any judgement on an issue concerning an international crime of Genocide, because there is no domestical law concerning crimes of Genocide in Nordway”.</w:t>
      </w:r>
    </w:p>
    <w:p w:rsidR="002102A5" w:rsidRDefault="002102A5" w:rsidP="002102A5">
      <w:pPr>
        <w:pStyle w:val="ListParagraph"/>
        <w:jc w:val="both"/>
      </w:pPr>
    </w:p>
    <w:p w:rsidR="002102A5" w:rsidRPr="001B3AFB" w:rsidRDefault="002102A5" w:rsidP="002102A5">
      <w:pPr>
        <w:pStyle w:val="Default"/>
        <w:numPr>
          <w:ilvl w:val="0"/>
          <w:numId w:val="2"/>
        </w:numPr>
        <w:jc w:val="both"/>
        <w:rPr>
          <w:rFonts w:eastAsia="Arial Unicode MS"/>
        </w:rPr>
      </w:pPr>
      <w:r w:rsidRPr="00A01CD2">
        <w:rPr>
          <w:rFonts w:eastAsia="Arial Unicode MS"/>
        </w:rPr>
        <w:t>In 2022, the case garners widespread media attention, with debates surrounding the principles of international law,</w:t>
      </w:r>
      <w:r>
        <w:rPr>
          <w:rFonts w:eastAsia="Arial Unicode MS"/>
        </w:rPr>
        <w:t xml:space="preserve"> genocide,</w:t>
      </w:r>
      <w:r w:rsidRPr="00A01CD2">
        <w:rPr>
          <w:rFonts w:eastAsia="Arial Unicode MS"/>
        </w:rPr>
        <w:t xml:space="preserve"> state sovereignty, and corporate accountability. Facing PetroGlobal’s refusal to pay, the victims file an enforcement action in Nordway seeking the awarded damages by liquidating the assets of the Republic of Eastonia</w:t>
      </w:r>
      <w:r w:rsidR="00FD4F79">
        <w:rPr>
          <w:rFonts w:eastAsia="Arial Unicode MS"/>
        </w:rPr>
        <w:t xml:space="preserve"> </w:t>
      </w:r>
      <w:r>
        <w:rPr>
          <w:rFonts w:eastAsia="Arial Unicode MS"/>
        </w:rPr>
        <w:t xml:space="preserve">and its ministers </w:t>
      </w:r>
      <w:r w:rsidRPr="00A01CD2">
        <w:rPr>
          <w:rFonts w:eastAsia="Arial Unicode MS"/>
        </w:rPr>
        <w:t>available within Nordway and attaching the Sovereign Pension Fund of Eastonia established for the pensioners of Eastonia which is maintained from the direct funds provided by the Republic of Eastonia including the joint profit fund set up in the treaty with Westafalia. The assets of PetroGlobal in Nordway are relatively insignificant as they have never carried on operations there, however, the Republic of Eastonia and the Sovereign Pension Fund of Eastonia both have a tremendous amount of assets due to the large number of pensioners.</w:t>
      </w:r>
    </w:p>
    <w:p w:rsidR="002102A5" w:rsidRPr="00A01CD2" w:rsidRDefault="002102A5" w:rsidP="002102A5">
      <w:pPr>
        <w:pStyle w:val="ListParagraph"/>
        <w:jc w:val="both"/>
      </w:pPr>
    </w:p>
    <w:p w:rsidR="002102A5" w:rsidRPr="00A01CD2" w:rsidRDefault="002102A5" w:rsidP="002102A5">
      <w:pPr>
        <w:pStyle w:val="Default"/>
        <w:numPr>
          <w:ilvl w:val="0"/>
          <w:numId w:val="2"/>
        </w:numPr>
        <w:jc w:val="both"/>
        <w:rPr>
          <w:rFonts w:eastAsia="Arial Unicode MS"/>
        </w:rPr>
      </w:pPr>
      <w:r w:rsidRPr="00A01CD2">
        <w:rPr>
          <w:rFonts w:eastAsia="Arial Unicode MS"/>
        </w:rPr>
        <w:t xml:space="preserve">In 2023, as hearings at the Court of Nordway on the enforcement action are set to begin, the Government of Eastonia sent a diplomatic note to the Government of Nordway indicating that the Ministry of Energy and Natural Resources, Republic of Eastonia is entitled to Jurisdictional Immunity for acts of </w:t>
      </w:r>
      <w:r w:rsidRPr="00A01CD2">
        <w:rPr>
          <w:rFonts w:eastAsia="Arial Unicode MS"/>
          <w:i/>
          <w:iCs/>
        </w:rPr>
        <w:t>jure imperii</w:t>
      </w:r>
      <w:r w:rsidRPr="00A01CD2">
        <w:rPr>
          <w:rFonts w:eastAsia="Arial Unicode MS"/>
        </w:rPr>
        <w:t xml:space="preserve">under </w:t>
      </w:r>
      <w:r>
        <w:rPr>
          <w:rFonts w:eastAsia="Arial Unicode MS"/>
        </w:rPr>
        <w:t xml:space="preserve">customary international law and under </w:t>
      </w:r>
      <w:r w:rsidRPr="00A01CD2">
        <w:rPr>
          <w:rFonts w:eastAsia="Arial Unicode MS"/>
        </w:rPr>
        <w:t xml:space="preserve">the United Nations Convention on Jurisdictional Immunities of States and Their Property. </w:t>
      </w:r>
      <w:r>
        <w:rPr>
          <w:rFonts w:eastAsia="Arial Unicode MS"/>
        </w:rPr>
        <w:t>Some of the properties belong to the Government of Eastonia</w:t>
      </w:r>
      <w:r w:rsidR="00FD4F79">
        <w:rPr>
          <w:rFonts w:eastAsia="Arial Unicode MS"/>
        </w:rPr>
        <w:t xml:space="preserve"> </w:t>
      </w:r>
      <w:r>
        <w:rPr>
          <w:rFonts w:eastAsia="Arial Unicode MS"/>
        </w:rPr>
        <w:t xml:space="preserve">which were purchased </w:t>
      </w:r>
      <w:r w:rsidR="00FD4F79">
        <w:rPr>
          <w:rFonts w:eastAsia="Arial Unicode MS"/>
        </w:rPr>
        <w:t>by the</w:t>
      </w:r>
      <w:r>
        <w:rPr>
          <w:rFonts w:eastAsia="Arial Unicode MS"/>
        </w:rPr>
        <w:t xml:space="preserve"> Ministers while acting as an agent of the Government of Eastonia. The PetroGlobal</w:t>
      </w:r>
      <w:r w:rsidR="00FD4F79">
        <w:rPr>
          <w:rFonts w:eastAsia="Arial Unicode MS"/>
        </w:rPr>
        <w:t xml:space="preserve"> </w:t>
      </w:r>
      <w:r>
        <w:rPr>
          <w:rFonts w:eastAsia="Arial Unicode MS"/>
        </w:rPr>
        <w:t>and Republic of Eastonia</w:t>
      </w:r>
      <w:r w:rsidR="00FD4F79">
        <w:rPr>
          <w:rFonts w:eastAsia="Arial Unicode MS"/>
        </w:rPr>
        <w:t xml:space="preserve"> </w:t>
      </w:r>
      <w:r>
        <w:rPr>
          <w:rFonts w:eastAsia="Arial Unicode MS"/>
        </w:rPr>
        <w:t>also claims that the awarded compensation is enormous and if enforced, the PeteroGlobal</w:t>
      </w:r>
      <w:r w:rsidR="00B24A4D">
        <w:rPr>
          <w:rFonts w:eastAsia="Arial Unicode MS"/>
        </w:rPr>
        <w:t xml:space="preserve"> </w:t>
      </w:r>
      <w:r>
        <w:rPr>
          <w:rFonts w:eastAsia="Arial Unicode MS"/>
        </w:rPr>
        <w:t xml:space="preserve">would go bankrupt in the State of Nordway. The Government of Eastonia and Government of Nordway request the Government of Switzerland to engage facilitate negotiations over these complex issues. </w:t>
      </w:r>
    </w:p>
    <w:p w:rsidR="002102A5" w:rsidRPr="00A01CD2" w:rsidRDefault="002102A5" w:rsidP="002102A5">
      <w:pPr>
        <w:pStyle w:val="ListParagraph"/>
        <w:jc w:val="both"/>
      </w:pPr>
    </w:p>
    <w:p w:rsidR="002102A5" w:rsidRPr="00A01CD2" w:rsidRDefault="002102A5" w:rsidP="002102A5">
      <w:pPr>
        <w:pStyle w:val="Default"/>
        <w:numPr>
          <w:ilvl w:val="0"/>
          <w:numId w:val="2"/>
        </w:numPr>
        <w:jc w:val="both"/>
        <w:rPr>
          <w:rFonts w:eastAsia="Arial Unicode MS"/>
        </w:rPr>
      </w:pPr>
      <w:r w:rsidRPr="00A01CD2">
        <w:rPr>
          <w:rFonts w:eastAsia="Arial Unicode MS"/>
        </w:rPr>
        <w:t xml:space="preserve">Negotiations between Nordway and Eastonia continued and were facilitated by the Government of Switzerland, to which Nordway and Eastonia express their deep appreciation. As a result of the negotiations, Eastonia and Nordway agreed to submit certain questions to the International Court of Justice (ICJ). Nordway agreed that their courts would not proceed with the enforcement action </w:t>
      </w:r>
      <w:r>
        <w:rPr>
          <w:rFonts w:eastAsia="Arial Unicode MS"/>
        </w:rPr>
        <w:t xml:space="preserve">till </w:t>
      </w:r>
      <w:r w:rsidRPr="00A01CD2">
        <w:rPr>
          <w:rFonts w:eastAsia="Arial Unicode MS"/>
        </w:rPr>
        <w:t>the ICJ</w:t>
      </w:r>
      <w:r>
        <w:rPr>
          <w:rFonts w:eastAsia="Arial Unicode MS"/>
        </w:rPr>
        <w:t xml:space="preserve"> decides upon </w:t>
      </w:r>
      <w:bookmarkStart w:id="0" w:name="_GoBack"/>
      <w:bookmarkEnd w:id="0"/>
      <w:r>
        <w:rPr>
          <w:rFonts w:eastAsia="Arial Unicode MS"/>
        </w:rPr>
        <w:t>this issue</w:t>
      </w:r>
      <w:r w:rsidRPr="00A01CD2">
        <w:rPr>
          <w:rFonts w:eastAsia="Arial Unicode MS"/>
        </w:rPr>
        <w:t xml:space="preserve">. </w:t>
      </w:r>
    </w:p>
    <w:p w:rsidR="002102A5" w:rsidRPr="00A01CD2" w:rsidRDefault="002102A5" w:rsidP="002102A5">
      <w:pPr>
        <w:pStyle w:val="ListParagraph"/>
        <w:jc w:val="both"/>
      </w:pPr>
    </w:p>
    <w:p w:rsidR="002102A5" w:rsidRPr="00A01CD2" w:rsidRDefault="002102A5" w:rsidP="002102A5">
      <w:pPr>
        <w:pStyle w:val="Default"/>
        <w:numPr>
          <w:ilvl w:val="0"/>
          <w:numId w:val="2"/>
        </w:numPr>
        <w:jc w:val="both"/>
        <w:rPr>
          <w:rFonts w:eastAsia="Arial Unicode MS"/>
        </w:rPr>
      </w:pPr>
      <w:r w:rsidRPr="00A01CD2">
        <w:rPr>
          <w:rFonts w:eastAsia="Arial Unicode MS"/>
        </w:rPr>
        <w:t>Eastonia</w:t>
      </w:r>
      <w:r w:rsidR="00B24A4D">
        <w:rPr>
          <w:rFonts w:eastAsia="Arial Unicode MS"/>
        </w:rPr>
        <w:t xml:space="preserve"> </w:t>
      </w:r>
      <w:r>
        <w:rPr>
          <w:rFonts w:eastAsia="Arial Unicode MS"/>
        </w:rPr>
        <w:t xml:space="preserve">is an applicant State before the ICJ </w:t>
      </w:r>
      <w:r w:rsidRPr="0031284C">
        <w:rPr>
          <w:rFonts w:eastAsia="Arial Unicode MS"/>
          <w:sz w:val="23"/>
          <w:szCs w:val="23"/>
        </w:rPr>
        <w:t xml:space="preserve">opposes the </w:t>
      </w:r>
      <w:r>
        <w:rPr>
          <w:rFonts w:eastAsia="Arial Unicode MS"/>
          <w:sz w:val="23"/>
          <w:szCs w:val="23"/>
        </w:rPr>
        <w:t>enforcement proceedings before the Courts at Nordway</w:t>
      </w:r>
      <w:r w:rsidR="00B24A4D">
        <w:rPr>
          <w:rFonts w:eastAsia="Arial Unicode MS"/>
          <w:sz w:val="23"/>
          <w:szCs w:val="23"/>
        </w:rPr>
        <w:t xml:space="preserve"> </w:t>
      </w:r>
      <w:r w:rsidRPr="00A01CD2">
        <w:rPr>
          <w:rFonts w:eastAsia="Arial Unicode MS"/>
        </w:rPr>
        <w:t xml:space="preserve">and seeks an order from the ICJ declaring that (1) </w:t>
      </w:r>
      <w:r>
        <w:rPr>
          <w:rFonts w:eastAsia="Arial Unicode MS"/>
        </w:rPr>
        <w:t xml:space="preserve">the </w:t>
      </w:r>
      <w:r w:rsidRPr="00A01CD2">
        <w:rPr>
          <w:rFonts w:eastAsia="Arial Unicode MS"/>
        </w:rPr>
        <w:t>enforcement proceedings initiated in the courts of Nordway</w:t>
      </w:r>
      <w:r w:rsidR="00B24A4D">
        <w:rPr>
          <w:rFonts w:eastAsia="Arial Unicode MS"/>
        </w:rPr>
        <w:t xml:space="preserve"> </w:t>
      </w:r>
      <w:r>
        <w:rPr>
          <w:rFonts w:eastAsia="Arial Unicode MS"/>
        </w:rPr>
        <w:t>violate international law concerning</w:t>
      </w:r>
      <w:r w:rsidRPr="00A01CD2">
        <w:rPr>
          <w:rFonts w:eastAsia="Arial Unicode MS"/>
        </w:rPr>
        <w:t xml:space="preserve"> the </w:t>
      </w:r>
      <w:r w:rsidRPr="00A01CD2">
        <w:rPr>
          <w:rFonts w:eastAsia="Arial Unicode MS"/>
        </w:rPr>
        <w:lastRenderedPageBreak/>
        <w:t xml:space="preserve">Jurisdictional Immunities as provided in customary </w:t>
      </w:r>
      <w:r>
        <w:rPr>
          <w:rFonts w:eastAsia="Arial Unicode MS"/>
        </w:rPr>
        <w:t xml:space="preserve">and conventional international law. Additionally, the Government of Westfalia is a necessary party to this dispute, therefore, any judicial or administrative proceeding or decision, will be invalid if the Government of </w:t>
      </w:r>
      <w:r w:rsidRPr="00A01CD2">
        <w:rPr>
          <w:rFonts w:eastAsia="Arial Unicode MS"/>
        </w:rPr>
        <w:t>Westfalia</w:t>
      </w:r>
      <w:r>
        <w:rPr>
          <w:rFonts w:eastAsia="Arial Unicode MS"/>
        </w:rPr>
        <w:t xml:space="preserve"> is not </w:t>
      </w:r>
      <w:r w:rsidRPr="00A01CD2">
        <w:rPr>
          <w:rFonts w:eastAsia="Arial Unicode MS"/>
        </w:rPr>
        <w:t xml:space="preserve">made a </w:t>
      </w:r>
      <w:r>
        <w:rPr>
          <w:rFonts w:eastAsia="Arial Unicode MS"/>
        </w:rPr>
        <w:t xml:space="preserve">necessary </w:t>
      </w:r>
      <w:r w:rsidRPr="00A01CD2">
        <w:rPr>
          <w:rFonts w:eastAsia="Arial Unicode MS"/>
        </w:rPr>
        <w:t>party considering the effect of enforcement action upon the profits flowing from the treaty with Eastonia</w:t>
      </w:r>
      <w:r>
        <w:rPr>
          <w:rFonts w:eastAsia="Arial Unicode MS"/>
        </w:rPr>
        <w:t xml:space="preserve">. (2) The ICJ should declare that the Government of Eastonia have not conducted Genocide of Filistinos in the State of Westfalia. </w:t>
      </w:r>
    </w:p>
    <w:p w:rsidR="002102A5" w:rsidRPr="00A01CD2" w:rsidRDefault="002102A5" w:rsidP="002102A5">
      <w:pPr>
        <w:pStyle w:val="Default"/>
        <w:ind w:left="360"/>
        <w:jc w:val="both"/>
        <w:rPr>
          <w:rFonts w:eastAsia="Arial Unicode MS"/>
        </w:rPr>
      </w:pPr>
    </w:p>
    <w:p w:rsidR="002102A5" w:rsidRPr="005E2920" w:rsidRDefault="002102A5" w:rsidP="002102A5">
      <w:pPr>
        <w:pStyle w:val="Default"/>
        <w:numPr>
          <w:ilvl w:val="0"/>
          <w:numId w:val="2"/>
        </w:numPr>
        <w:jc w:val="both"/>
        <w:rPr>
          <w:rFonts w:eastAsia="Arial Unicode MS"/>
        </w:rPr>
      </w:pPr>
      <w:r w:rsidRPr="00A01CD2">
        <w:rPr>
          <w:rFonts w:eastAsia="Arial Unicode MS"/>
        </w:rPr>
        <w:t>Nordway</w:t>
      </w:r>
      <w:r w:rsidR="00B24A4D">
        <w:rPr>
          <w:rFonts w:eastAsia="Arial Unicode MS"/>
        </w:rPr>
        <w:t xml:space="preserve"> </w:t>
      </w:r>
      <w:r>
        <w:rPr>
          <w:rFonts w:eastAsia="Arial Unicode MS"/>
        </w:rPr>
        <w:t xml:space="preserve">being the respondent </w:t>
      </w:r>
      <w:r w:rsidRPr="00A01CD2">
        <w:rPr>
          <w:rFonts w:eastAsia="Arial Unicode MS"/>
        </w:rPr>
        <w:t xml:space="preserve">opposes the claims made by the Eastonia and seeks an order from the ICJ declaring (1) that as a procedural and substantive matter, the Jurisdictional Immunities sought by Eastonia cannot be granted to the Eastonia in light of the several and severe international law and </w:t>
      </w:r>
      <w:r w:rsidRPr="005E2920">
        <w:rPr>
          <w:rFonts w:eastAsia="Arial Unicode MS"/>
          <w:i/>
          <w:iCs/>
        </w:rPr>
        <w:t>jus cogens</w:t>
      </w:r>
      <w:r w:rsidRPr="00A01CD2">
        <w:rPr>
          <w:rFonts w:eastAsia="Arial Unicode MS"/>
        </w:rPr>
        <w:t xml:space="preserve"> violations committed by PetroGlobal and its actors, requiring reparations</w:t>
      </w:r>
      <w:r>
        <w:rPr>
          <w:rFonts w:eastAsia="Arial Unicode MS"/>
        </w:rPr>
        <w:t xml:space="preserve"> and hold the proceedings before the court at Nordway as valid </w:t>
      </w:r>
      <w:r w:rsidRPr="00A01CD2">
        <w:rPr>
          <w:rFonts w:eastAsia="Arial Unicode MS"/>
        </w:rPr>
        <w:t xml:space="preserve">and </w:t>
      </w:r>
      <w:r>
        <w:rPr>
          <w:rFonts w:eastAsia="Arial Unicode MS"/>
        </w:rPr>
        <w:t xml:space="preserve">hold that </w:t>
      </w:r>
      <w:r w:rsidRPr="00A01CD2">
        <w:rPr>
          <w:rFonts w:eastAsia="Arial Unicode MS"/>
        </w:rPr>
        <w:t xml:space="preserve">as a procedural matter, </w:t>
      </w:r>
      <w:r w:rsidRPr="005E2920">
        <w:rPr>
          <w:rFonts w:eastAsia="Arial Unicode MS"/>
          <w:color w:val="000000" w:themeColor="text1"/>
        </w:rPr>
        <w:t xml:space="preserve">the Republic of </w:t>
      </w:r>
      <w:r w:rsidR="00B24A4D">
        <w:rPr>
          <w:rFonts w:eastAsia="Arial Unicode MS"/>
          <w:color w:val="000000" w:themeColor="text1"/>
        </w:rPr>
        <w:t xml:space="preserve"> </w:t>
      </w:r>
      <w:r w:rsidRPr="005E2920">
        <w:rPr>
          <w:rFonts w:eastAsia="Arial Unicode MS"/>
          <w:color w:val="000000" w:themeColor="text1"/>
        </w:rPr>
        <w:t xml:space="preserve">Westfalia is not a necessary party to this action for disbursing reparations from the profits flowing from their Treaty with Eastonia. </w:t>
      </w:r>
      <w:r>
        <w:rPr>
          <w:rFonts w:eastAsia="Arial Unicode MS"/>
          <w:color w:val="000000" w:themeColor="text1"/>
        </w:rPr>
        <w:t xml:space="preserve">(2) </w:t>
      </w:r>
      <w:r>
        <w:rPr>
          <w:rFonts w:eastAsia="Arial Unicode MS"/>
        </w:rPr>
        <w:t xml:space="preserve">The ICJ should declare that the Government of Eastonia have conducted Genocide of Filistinos in the State of </w:t>
      </w:r>
      <w:r w:rsidR="00A32772">
        <w:rPr>
          <w:rFonts w:eastAsia="Arial Unicode MS"/>
        </w:rPr>
        <w:t xml:space="preserve"> </w:t>
      </w:r>
      <w:r>
        <w:rPr>
          <w:rFonts w:eastAsia="Arial Unicode MS"/>
        </w:rPr>
        <w:t xml:space="preserve">Westfalia, therefore Eastonia should pay an additional 100 billion USD. </w:t>
      </w:r>
    </w:p>
    <w:p w:rsidR="002102A5" w:rsidRPr="00A01CD2" w:rsidRDefault="002102A5" w:rsidP="002102A5">
      <w:pPr>
        <w:pStyle w:val="ListParagraph"/>
      </w:pPr>
    </w:p>
    <w:p w:rsidR="002102A5" w:rsidRPr="00A01CD2" w:rsidRDefault="002102A5" w:rsidP="002102A5">
      <w:pPr>
        <w:pStyle w:val="Default"/>
        <w:numPr>
          <w:ilvl w:val="0"/>
          <w:numId w:val="2"/>
        </w:numPr>
        <w:jc w:val="both"/>
        <w:rPr>
          <w:rFonts w:eastAsia="Arial Unicode MS"/>
        </w:rPr>
      </w:pPr>
      <w:r w:rsidRPr="00A01CD2">
        <w:rPr>
          <w:rFonts w:eastAsia="Arial Unicode MS"/>
        </w:rPr>
        <w:t>The parties are free to make additional issues for acceptance and rejection of the claims before the ICJ.</w:t>
      </w:r>
      <w:r>
        <w:rPr>
          <w:rFonts w:eastAsia="Arial Unicode MS"/>
        </w:rPr>
        <w:t xml:space="preserve"> The parties should not raise issue concerning the jurisdiction of the present caseas the jurisdiction is established under the Special Agreement between the parties. </w:t>
      </w:r>
    </w:p>
    <w:p w:rsidR="002102A5" w:rsidRPr="00A01CD2" w:rsidRDefault="002102A5" w:rsidP="002102A5">
      <w:pPr>
        <w:pStyle w:val="Body"/>
        <w:jc w:val="both"/>
        <w:rPr>
          <w:rFonts w:cs="Times New Roman"/>
          <w:sz w:val="24"/>
          <w:szCs w:val="24"/>
        </w:rPr>
      </w:pPr>
    </w:p>
    <w:p w:rsidR="002102A5" w:rsidRPr="00A01CD2" w:rsidRDefault="002102A5" w:rsidP="002102A5">
      <w:pPr>
        <w:pStyle w:val="Default"/>
        <w:ind w:left="360"/>
        <w:jc w:val="both"/>
        <w:rPr>
          <w:rFonts w:eastAsia="Arial Unicode MS"/>
        </w:rPr>
      </w:pPr>
    </w:p>
    <w:p w:rsidR="002102A5" w:rsidRPr="00A01CD2" w:rsidRDefault="002102A5" w:rsidP="002102A5">
      <w:pPr>
        <w:rPr>
          <w:color w:val="000000"/>
          <w:u w:color="000000"/>
          <w:lang w:eastAsia="en-GB"/>
        </w:rPr>
      </w:pPr>
    </w:p>
    <w:p w:rsidR="002102A5" w:rsidRDefault="002102A5" w:rsidP="002102A5">
      <w:pPr>
        <w:pStyle w:val="Heading"/>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2102A5" w:rsidRDefault="002102A5" w:rsidP="002102A5">
      <w:pPr>
        <w:pStyle w:val="Heading"/>
        <w:jc w:val="both"/>
        <w:rPr>
          <w:rFonts w:cs="Times New Roman"/>
          <w:sz w:val="24"/>
          <w:szCs w:val="24"/>
        </w:rPr>
      </w:pPr>
    </w:p>
    <w:p w:rsidR="002102A5" w:rsidRDefault="002102A5" w:rsidP="002102A5">
      <w:pPr>
        <w:pStyle w:val="Heading"/>
        <w:jc w:val="both"/>
        <w:rPr>
          <w:rFonts w:cs="Times New Roman"/>
          <w:sz w:val="24"/>
          <w:szCs w:val="24"/>
        </w:rPr>
      </w:pPr>
    </w:p>
    <w:p w:rsidR="002102A5" w:rsidRDefault="002102A5" w:rsidP="002102A5">
      <w:pPr>
        <w:pStyle w:val="Heading"/>
        <w:jc w:val="both"/>
        <w:rPr>
          <w:rFonts w:cs="Times New Roman"/>
          <w:sz w:val="24"/>
          <w:szCs w:val="24"/>
        </w:rPr>
      </w:pPr>
    </w:p>
    <w:p w:rsidR="002102A5" w:rsidRDefault="002102A5" w:rsidP="002102A5">
      <w:pPr>
        <w:pStyle w:val="Heading"/>
        <w:jc w:val="both"/>
        <w:rPr>
          <w:rFonts w:cs="Times New Roman"/>
          <w:sz w:val="24"/>
          <w:szCs w:val="24"/>
        </w:rPr>
      </w:pPr>
    </w:p>
    <w:p w:rsidR="002102A5" w:rsidRDefault="002102A5" w:rsidP="002102A5">
      <w:pPr>
        <w:pStyle w:val="Heading"/>
        <w:jc w:val="both"/>
        <w:rPr>
          <w:rFonts w:cs="Times New Roman"/>
          <w:sz w:val="24"/>
          <w:szCs w:val="24"/>
        </w:rPr>
      </w:pPr>
    </w:p>
    <w:p w:rsidR="002102A5" w:rsidRDefault="002102A5" w:rsidP="002102A5">
      <w:pPr>
        <w:pStyle w:val="Heading"/>
        <w:jc w:val="both"/>
        <w:rPr>
          <w:rFonts w:cs="Times New Roman"/>
          <w:sz w:val="24"/>
          <w:szCs w:val="24"/>
        </w:rPr>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Default="002102A5" w:rsidP="002102A5">
      <w:pPr>
        <w:pStyle w:val="Body"/>
      </w:pPr>
    </w:p>
    <w:p w:rsidR="002102A5" w:rsidRPr="002102A5" w:rsidRDefault="002102A5" w:rsidP="002102A5">
      <w:pPr>
        <w:pStyle w:val="Body"/>
      </w:pPr>
    </w:p>
    <w:p w:rsidR="002102A5" w:rsidRPr="00A01CD2" w:rsidRDefault="002102A5" w:rsidP="002102A5">
      <w:pPr>
        <w:pStyle w:val="Heading"/>
        <w:jc w:val="both"/>
        <w:rPr>
          <w:rFonts w:cs="Times New Roman"/>
          <w:sz w:val="24"/>
          <w:szCs w:val="24"/>
        </w:rPr>
      </w:pPr>
      <w:r>
        <w:rPr>
          <w:rFonts w:cs="Times New Roman"/>
          <w:sz w:val="24"/>
          <w:szCs w:val="24"/>
        </w:rPr>
        <w:lastRenderedPageBreak/>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A01CD2">
        <w:rPr>
          <w:rFonts w:cs="Times New Roman"/>
          <w:sz w:val="24"/>
          <w:szCs w:val="24"/>
        </w:rPr>
        <w:t xml:space="preserve">Annex 1: </w:t>
      </w:r>
    </w:p>
    <w:p w:rsidR="002102A5" w:rsidRPr="00A01CD2" w:rsidRDefault="002102A5" w:rsidP="002102A5">
      <w:pPr>
        <w:pStyle w:val="Body"/>
        <w:rPr>
          <w:rFonts w:cs="Times New Roman"/>
          <w:sz w:val="24"/>
          <w:szCs w:val="24"/>
        </w:rPr>
      </w:pPr>
    </w:p>
    <w:p w:rsidR="002102A5" w:rsidRPr="00A01CD2" w:rsidRDefault="002102A5" w:rsidP="002102A5">
      <w:pPr>
        <w:pStyle w:val="Body"/>
        <w:jc w:val="center"/>
        <w:rPr>
          <w:rFonts w:cs="Times New Roman"/>
          <w:b/>
          <w:bCs/>
          <w:sz w:val="24"/>
          <w:szCs w:val="24"/>
        </w:rPr>
      </w:pPr>
      <w:r w:rsidRPr="00A01CD2">
        <w:rPr>
          <w:rFonts w:cs="Times New Roman"/>
          <w:b/>
          <w:bCs/>
          <w:sz w:val="24"/>
          <w:szCs w:val="24"/>
        </w:rPr>
        <w:t>Treaty on Oil Exploration and Extraction Cooperation</w:t>
      </w:r>
    </w:p>
    <w:p w:rsidR="002102A5" w:rsidRPr="00A01CD2" w:rsidRDefault="002102A5" w:rsidP="002102A5">
      <w:pPr>
        <w:pStyle w:val="Body"/>
        <w:jc w:val="center"/>
        <w:rPr>
          <w:rFonts w:cs="Times New Roman"/>
          <w:b/>
          <w:bCs/>
          <w:sz w:val="24"/>
          <w:szCs w:val="24"/>
        </w:rPr>
      </w:pPr>
      <w:r w:rsidRPr="00A01CD2">
        <w:rPr>
          <w:rFonts w:cs="Times New Roman"/>
          <w:b/>
          <w:bCs/>
          <w:sz w:val="24"/>
          <w:szCs w:val="24"/>
        </w:rPr>
        <w:t>Between The Sovereign State of Eastonia and The Republic of Westfalia</w:t>
      </w:r>
    </w:p>
    <w:p w:rsidR="002102A5" w:rsidRPr="00A01CD2" w:rsidRDefault="002102A5" w:rsidP="002102A5">
      <w:pPr>
        <w:pStyle w:val="Body"/>
        <w:jc w:val="center"/>
        <w:rPr>
          <w:rFonts w:cs="Times New Roman"/>
          <w:b/>
          <w:bCs/>
          <w:sz w:val="24"/>
          <w:szCs w:val="24"/>
        </w:rPr>
      </w:pPr>
    </w:p>
    <w:p w:rsidR="002102A5" w:rsidRPr="00A01CD2" w:rsidRDefault="002102A5" w:rsidP="002102A5">
      <w:pPr>
        <w:pStyle w:val="Body"/>
        <w:jc w:val="center"/>
        <w:rPr>
          <w:rFonts w:cs="Times New Roman"/>
          <w:sz w:val="24"/>
          <w:szCs w:val="24"/>
        </w:rPr>
      </w:pPr>
      <w:r w:rsidRPr="00A01CD2">
        <w:rPr>
          <w:rFonts w:cs="Times New Roman"/>
          <w:b/>
          <w:bCs/>
          <w:sz w:val="24"/>
          <w:szCs w:val="24"/>
        </w:rPr>
        <w:t>Preamble</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sz w:val="24"/>
          <w:szCs w:val="24"/>
        </w:rPr>
        <w:t>The Sovereign State of Eastonia ("Eastonia") and the Republic of Westfalia ("Westfalia"), recognizing the mutual benefits of cooperation in the field of oil exploration and extraction, and wishing to strengthen their economic and technical ties,</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Mindful</w:t>
      </w:r>
      <w:r w:rsidRPr="00A01CD2">
        <w:rPr>
          <w:rFonts w:cs="Times New Roman"/>
          <w:sz w:val="24"/>
          <w:szCs w:val="24"/>
        </w:rPr>
        <w:t xml:space="preserve"> of the need to protect the environment and uphold the rights and welfare of the local communities affected by these activities,</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Desiring</w:t>
      </w:r>
      <w:r w:rsidRPr="00A01CD2">
        <w:rPr>
          <w:rFonts w:cs="Times New Roman"/>
          <w:sz w:val="24"/>
          <w:szCs w:val="24"/>
        </w:rPr>
        <w:t xml:space="preserve"> to establish a clear legal framework for the operations of Eastonia's state-owned company, PetroGlobal, in Westfalia,</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i/>
          <w:iCs/>
          <w:sz w:val="24"/>
          <w:szCs w:val="24"/>
        </w:rPr>
        <w:t xml:space="preserve">Have agreed </w:t>
      </w:r>
      <w:r w:rsidRPr="00A01CD2">
        <w:rPr>
          <w:rFonts w:cs="Times New Roman"/>
          <w:sz w:val="24"/>
          <w:szCs w:val="24"/>
        </w:rPr>
        <w:t>as follows:</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1: Scope and Objectives</w:t>
      </w:r>
    </w:p>
    <w:p w:rsidR="002102A5" w:rsidRPr="00A01CD2" w:rsidRDefault="002102A5" w:rsidP="002102A5">
      <w:pPr>
        <w:pStyle w:val="Body"/>
        <w:numPr>
          <w:ilvl w:val="0"/>
          <w:numId w:val="4"/>
        </w:numPr>
        <w:jc w:val="both"/>
        <w:rPr>
          <w:rFonts w:cs="Times New Roman"/>
          <w:sz w:val="24"/>
          <w:szCs w:val="24"/>
        </w:rPr>
      </w:pPr>
      <w:r w:rsidRPr="00A01CD2">
        <w:rPr>
          <w:rFonts w:cs="Times New Roman"/>
          <w:sz w:val="24"/>
          <w:szCs w:val="24"/>
        </w:rPr>
        <w:t>This Treaty outlines the terms under which PetroGlobal shall conduct oil exploration and extraction activities in designated areas within Westfalia.</w:t>
      </w:r>
    </w:p>
    <w:p w:rsidR="002102A5" w:rsidRPr="00A01CD2" w:rsidRDefault="002102A5" w:rsidP="002102A5">
      <w:pPr>
        <w:pStyle w:val="Body"/>
        <w:numPr>
          <w:ilvl w:val="0"/>
          <w:numId w:val="4"/>
        </w:numPr>
        <w:jc w:val="both"/>
        <w:rPr>
          <w:rFonts w:cs="Times New Roman"/>
          <w:sz w:val="24"/>
          <w:szCs w:val="24"/>
        </w:rPr>
      </w:pPr>
      <w:r w:rsidRPr="00A01CD2">
        <w:rPr>
          <w:rFonts w:cs="Times New Roman"/>
          <w:sz w:val="24"/>
          <w:szCs w:val="24"/>
        </w:rPr>
        <w:t>The objectives of this Treaty are to ensure the efficient and sustainable exploitation of oil resources, promote economic development, and safeguard environmental and social standards.</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2: Rights and Obligations</w:t>
      </w:r>
    </w:p>
    <w:p w:rsidR="002102A5" w:rsidRPr="00A01CD2" w:rsidRDefault="002102A5" w:rsidP="002102A5">
      <w:pPr>
        <w:pStyle w:val="Body"/>
        <w:numPr>
          <w:ilvl w:val="0"/>
          <w:numId w:val="6"/>
        </w:numPr>
        <w:jc w:val="both"/>
        <w:rPr>
          <w:rFonts w:cs="Times New Roman"/>
          <w:sz w:val="24"/>
          <w:szCs w:val="24"/>
        </w:rPr>
      </w:pPr>
      <w:r w:rsidRPr="00A01CD2">
        <w:rPr>
          <w:rFonts w:cs="Times New Roman"/>
          <w:sz w:val="24"/>
          <w:szCs w:val="24"/>
        </w:rPr>
        <w:t>PetroGlobal is granted the exclusive right to explore and extract oil within agreed areas in Westfalia, subject to the terms and conditions set forth in this Treaty and Westfalia's laws.</w:t>
      </w:r>
    </w:p>
    <w:p w:rsidR="002102A5" w:rsidRPr="00A01CD2" w:rsidRDefault="002102A5" w:rsidP="002102A5">
      <w:pPr>
        <w:pStyle w:val="Body"/>
        <w:numPr>
          <w:ilvl w:val="0"/>
          <w:numId w:val="6"/>
        </w:numPr>
        <w:jc w:val="both"/>
        <w:rPr>
          <w:rFonts w:cs="Times New Roman"/>
          <w:sz w:val="24"/>
          <w:szCs w:val="24"/>
        </w:rPr>
      </w:pPr>
      <w:r w:rsidRPr="00A01CD2">
        <w:rPr>
          <w:rFonts w:cs="Times New Roman"/>
          <w:sz w:val="24"/>
          <w:szCs w:val="24"/>
        </w:rPr>
        <w:t>PetroGlobal shall conduct all operations in accordance with international best practices and standards for environmental protection, human rights, and labor rights.</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3: Environmental and Social Safeguards</w:t>
      </w:r>
    </w:p>
    <w:p w:rsidR="002102A5" w:rsidRPr="00A01CD2" w:rsidRDefault="002102A5" w:rsidP="002102A5">
      <w:pPr>
        <w:pStyle w:val="Body"/>
        <w:numPr>
          <w:ilvl w:val="0"/>
          <w:numId w:val="8"/>
        </w:numPr>
        <w:jc w:val="both"/>
        <w:rPr>
          <w:rFonts w:cs="Times New Roman"/>
          <w:sz w:val="24"/>
          <w:szCs w:val="24"/>
        </w:rPr>
      </w:pPr>
      <w:r w:rsidRPr="00A01CD2">
        <w:rPr>
          <w:rFonts w:cs="Times New Roman"/>
          <w:sz w:val="24"/>
          <w:szCs w:val="24"/>
        </w:rPr>
        <w:t>PetroGlobal commits to undertaking comprehensive Environmental and Social Impact Assessments (ESIAs) prior to commencing any operations.</w:t>
      </w:r>
    </w:p>
    <w:p w:rsidR="002102A5" w:rsidRPr="00A01CD2" w:rsidRDefault="002102A5" w:rsidP="002102A5">
      <w:pPr>
        <w:pStyle w:val="Body"/>
        <w:numPr>
          <w:ilvl w:val="0"/>
          <w:numId w:val="8"/>
        </w:numPr>
        <w:jc w:val="both"/>
        <w:rPr>
          <w:rFonts w:cs="Times New Roman"/>
          <w:sz w:val="24"/>
          <w:szCs w:val="24"/>
        </w:rPr>
      </w:pPr>
      <w:r w:rsidRPr="00A01CD2">
        <w:rPr>
          <w:rFonts w:cs="Times New Roman"/>
          <w:sz w:val="24"/>
          <w:szCs w:val="24"/>
        </w:rPr>
        <w:t>Measures shall be taken to mitigate adverse impacts on the environment and local communities, with a commitment to transparency and public consultation.</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4: Revenue Sharing and Economic Benefits</w:t>
      </w:r>
    </w:p>
    <w:p w:rsidR="002102A5" w:rsidRPr="00A01CD2" w:rsidRDefault="002102A5" w:rsidP="002102A5">
      <w:pPr>
        <w:pStyle w:val="Body"/>
        <w:numPr>
          <w:ilvl w:val="0"/>
          <w:numId w:val="10"/>
        </w:numPr>
        <w:jc w:val="both"/>
        <w:rPr>
          <w:rFonts w:cs="Times New Roman"/>
          <w:sz w:val="24"/>
          <w:szCs w:val="24"/>
        </w:rPr>
      </w:pPr>
      <w:r w:rsidRPr="00A01CD2">
        <w:rPr>
          <w:rFonts w:cs="Times New Roman"/>
          <w:sz w:val="24"/>
          <w:szCs w:val="24"/>
        </w:rPr>
        <w:t>The revenues generated from oil extraction activities shall be shared between Eastonia and Westfalia and disbursed under this Treaty.</w:t>
      </w:r>
    </w:p>
    <w:p w:rsidR="002102A5" w:rsidRPr="00A01CD2" w:rsidRDefault="002102A5" w:rsidP="002102A5">
      <w:pPr>
        <w:pStyle w:val="Body"/>
        <w:numPr>
          <w:ilvl w:val="0"/>
          <w:numId w:val="10"/>
        </w:numPr>
        <w:jc w:val="both"/>
        <w:rPr>
          <w:rFonts w:cs="Times New Roman"/>
          <w:sz w:val="24"/>
          <w:szCs w:val="24"/>
        </w:rPr>
      </w:pPr>
      <w:r w:rsidRPr="00A01CD2">
        <w:rPr>
          <w:rFonts w:cs="Times New Roman"/>
          <w:sz w:val="24"/>
          <w:szCs w:val="24"/>
        </w:rPr>
        <w:t>PetroGlobal shall contribute to the socio-economic development of local communities in the operational areas.</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5: Dispute Resolution</w:t>
      </w:r>
    </w:p>
    <w:p w:rsidR="002102A5" w:rsidRPr="00A01CD2" w:rsidRDefault="002102A5" w:rsidP="002102A5">
      <w:pPr>
        <w:pStyle w:val="Body"/>
        <w:numPr>
          <w:ilvl w:val="0"/>
          <w:numId w:val="12"/>
        </w:numPr>
        <w:jc w:val="both"/>
        <w:rPr>
          <w:rFonts w:cs="Times New Roman"/>
          <w:sz w:val="24"/>
          <w:szCs w:val="24"/>
        </w:rPr>
      </w:pPr>
      <w:r w:rsidRPr="00A01CD2">
        <w:rPr>
          <w:rFonts w:cs="Times New Roman"/>
          <w:sz w:val="24"/>
          <w:szCs w:val="24"/>
        </w:rPr>
        <w:t>Any disputes arising from the interpretation or application of this Treaty shall be resolved amicably through negotiation between the Parties.</w:t>
      </w:r>
    </w:p>
    <w:p w:rsidR="002102A5" w:rsidRPr="00A01CD2" w:rsidRDefault="002102A5" w:rsidP="002102A5">
      <w:pPr>
        <w:pStyle w:val="Body"/>
        <w:numPr>
          <w:ilvl w:val="0"/>
          <w:numId w:val="12"/>
        </w:numPr>
        <w:jc w:val="both"/>
        <w:rPr>
          <w:rFonts w:cs="Times New Roman"/>
          <w:sz w:val="24"/>
          <w:szCs w:val="24"/>
        </w:rPr>
      </w:pPr>
      <w:r w:rsidRPr="00A01CD2">
        <w:rPr>
          <w:rFonts w:cs="Times New Roman"/>
          <w:sz w:val="24"/>
          <w:szCs w:val="24"/>
        </w:rPr>
        <w:t xml:space="preserve">If a dispute cannot be resolved through negotiation within six months, it shall be referred to arbitration in accordance with the </w:t>
      </w:r>
      <w:r>
        <w:rPr>
          <w:rFonts w:cs="Times New Roman"/>
          <w:sz w:val="24"/>
          <w:szCs w:val="24"/>
        </w:rPr>
        <w:t>Domestic A</w:t>
      </w:r>
      <w:r w:rsidRPr="00A01CD2">
        <w:rPr>
          <w:rFonts w:cs="Times New Roman"/>
          <w:sz w:val="24"/>
          <w:szCs w:val="24"/>
        </w:rPr>
        <w:t xml:space="preserve">rbitration </w:t>
      </w:r>
      <w:r>
        <w:rPr>
          <w:rFonts w:cs="Times New Roman"/>
          <w:sz w:val="24"/>
          <w:szCs w:val="24"/>
        </w:rPr>
        <w:t>law.</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6: Arbitration Clause</w:t>
      </w:r>
    </w:p>
    <w:p w:rsidR="002102A5" w:rsidRPr="00A01CD2" w:rsidRDefault="002102A5" w:rsidP="002102A5">
      <w:pPr>
        <w:pStyle w:val="Body"/>
        <w:numPr>
          <w:ilvl w:val="0"/>
          <w:numId w:val="14"/>
        </w:numPr>
        <w:jc w:val="both"/>
        <w:rPr>
          <w:rFonts w:cs="Times New Roman"/>
          <w:sz w:val="24"/>
          <w:szCs w:val="24"/>
        </w:rPr>
      </w:pPr>
      <w:r w:rsidRPr="00A01CD2">
        <w:rPr>
          <w:rFonts w:cs="Times New Roman"/>
          <w:sz w:val="24"/>
          <w:szCs w:val="24"/>
        </w:rPr>
        <w:t>The Parties hereby agree that any dispute relating to PetroGlobal's operations under this Treaty, including claims of environmental damage or human rights violations, shall be exclusively settled by arbitration.</w:t>
      </w:r>
    </w:p>
    <w:p w:rsidR="002102A5" w:rsidRPr="00A01CD2" w:rsidRDefault="002102A5" w:rsidP="002102A5">
      <w:pPr>
        <w:pStyle w:val="Body"/>
        <w:numPr>
          <w:ilvl w:val="0"/>
          <w:numId w:val="14"/>
        </w:numPr>
        <w:jc w:val="both"/>
        <w:rPr>
          <w:rFonts w:cs="Times New Roman"/>
          <w:sz w:val="24"/>
          <w:szCs w:val="24"/>
        </w:rPr>
      </w:pPr>
      <w:r w:rsidRPr="00A01CD2">
        <w:rPr>
          <w:rFonts w:cs="Times New Roman"/>
          <w:sz w:val="24"/>
          <w:szCs w:val="24"/>
        </w:rPr>
        <w:t>The arbitration panel shall consist of three arbitrators: one appointed by Eastonia, one by Westfalia, and the third, who shall act as the presiding arbitrator, appointed jointly by the first two arbitrators.</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7: Sovereignty and Jurisdiction</w:t>
      </w:r>
    </w:p>
    <w:p w:rsidR="002102A5" w:rsidRPr="00A01CD2" w:rsidRDefault="002102A5" w:rsidP="002102A5">
      <w:pPr>
        <w:pStyle w:val="Body"/>
        <w:numPr>
          <w:ilvl w:val="0"/>
          <w:numId w:val="16"/>
        </w:numPr>
        <w:jc w:val="both"/>
        <w:rPr>
          <w:rFonts w:cs="Times New Roman"/>
          <w:sz w:val="24"/>
          <w:szCs w:val="24"/>
        </w:rPr>
      </w:pPr>
      <w:r w:rsidRPr="00A01CD2">
        <w:rPr>
          <w:rFonts w:cs="Times New Roman"/>
          <w:sz w:val="24"/>
          <w:szCs w:val="24"/>
        </w:rPr>
        <w:t>Nothing in this Treaty shall be construed as a waiver of either Party's sovereignty, sovereign immunity, or jurisdictional rights, except as explicitly provided in the Arbitration Clause.</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8: Duration and Termination</w:t>
      </w:r>
    </w:p>
    <w:p w:rsidR="002102A5" w:rsidRPr="00A01CD2" w:rsidRDefault="002102A5" w:rsidP="002102A5">
      <w:pPr>
        <w:pStyle w:val="Body"/>
        <w:numPr>
          <w:ilvl w:val="0"/>
          <w:numId w:val="18"/>
        </w:numPr>
        <w:jc w:val="both"/>
        <w:rPr>
          <w:rFonts w:cs="Times New Roman"/>
          <w:sz w:val="24"/>
          <w:szCs w:val="24"/>
        </w:rPr>
      </w:pPr>
      <w:r w:rsidRPr="00A01CD2">
        <w:rPr>
          <w:rFonts w:cs="Times New Roman"/>
          <w:sz w:val="24"/>
          <w:szCs w:val="24"/>
        </w:rPr>
        <w:t>This Treaty shall enter into force upon ratification by both Parties and remain in effect for a period of twenty years, renewable upon mutual agreement.</w:t>
      </w:r>
    </w:p>
    <w:p w:rsidR="002102A5" w:rsidRPr="00A01CD2" w:rsidRDefault="002102A5" w:rsidP="002102A5">
      <w:pPr>
        <w:pStyle w:val="Body"/>
        <w:numPr>
          <w:ilvl w:val="0"/>
          <w:numId w:val="18"/>
        </w:numPr>
        <w:jc w:val="both"/>
        <w:rPr>
          <w:rFonts w:cs="Times New Roman"/>
          <w:sz w:val="24"/>
          <w:szCs w:val="24"/>
        </w:rPr>
      </w:pPr>
      <w:r w:rsidRPr="00A01CD2">
        <w:rPr>
          <w:rFonts w:cs="Times New Roman"/>
          <w:sz w:val="24"/>
          <w:szCs w:val="24"/>
        </w:rPr>
        <w:t>Either Party may terminate this Treaty by giving two years' written notice to the other Party.</w:t>
      </w:r>
    </w:p>
    <w:p w:rsidR="002102A5" w:rsidRPr="00A01CD2" w:rsidRDefault="002102A5" w:rsidP="002102A5">
      <w:pPr>
        <w:pStyle w:val="Body"/>
        <w:tabs>
          <w:tab w:val="left" w:pos="720"/>
        </w:tabs>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Article 9: Final Provisions</w:t>
      </w:r>
    </w:p>
    <w:p w:rsidR="002102A5" w:rsidRPr="00A01CD2" w:rsidRDefault="002102A5" w:rsidP="002102A5">
      <w:pPr>
        <w:pStyle w:val="Body"/>
        <w:numPr>
          <w:ilvl w:val="0"/>
          <w:numId w:val="20"/>
        </w:numPr>
        <w:jc w:val="both"/>
        <w:rPr>
          <w:rFonts w:cs="Times New Roman"/>
          <w:sz w:val="24"/>
          <w:szCs w:val="24"/>
        </w:rPr>
      </w:pPr>
      <w:r w:rsidRPr="00A01CD2">
        <w:rPr>
          <w:rFonts w:cs="Times New Roman"/>
          <w:sz w:val="24"/>
          <w:szCs w:val="24"/>
        </w:rPr>
        <w:t>This Treaty, including its Annexes, constitutes the entire agreement between the Parties regarding the subject matter hereof and supersedes all prior communications, negotiations, and agreements.</w:t>
      </w:r>
    </w:p>
    <w:p w:rsidR="002102A5" w:rsidRPr="00A01CD2" w:rsidRDefault="002102A5" w:rsidP="002102A5">
      <w:pPr>
        <w:pStyle w:val="Body"/>
        <w:numPr>
          <w:ilvl w:val="0"/>
          <w:numId w:val="20"/>
        </w:numPr>
        <w:jc w:val="both"/>
        <w:rPr>
          <w:rFonts w:cs="Times New Roman"/>
          <w:sz w:val="24"/>
          <w:szCs w:val="24"/>
        </w:rPr>
      </w:pPr>
      <w:r w:rsidRPr="00A01CD2">
        <w:rPr>
          <w:rFonts w:cs="Times New Roman"/>
          <w:sz w:val="24"/>
          <w:szCs w:val="24"/>
        </w:rPr>
        <w:t>This Treaty may be amended only by written agreement between the Parties.</w:t>
      </w:r>
    </w:p>
    <w:p w:rsidR="002102A5" w:rsidRPr="00A01CD2" w:rsidRDefault="002102A5" w:rsidP="002102A5">
      <w:pPr>
        <w:pStyle w:val="Body"/>
        <w:jc w:val="both"/>
        <w:rPr>
          <w:rFonts w:cs="Times New Roman"/>
          <w:sz w:val="24"/>
          <w:szCs w:val="24"/>
        </w:rPr>
      </w:pPr>
    </w:p>
    <w:p w:rsidR="002102A5" w:rsidRPr="00A01CD2" w:rsidRDefault="002102A5" w:rsidP="002102A5">
      <w:pPr>
        <w:pStyle w:val="Body"/>
        <w:jc w:val="both"/>
        <w:rPr>
          <w:rFonts w:cs="Times New Roman"/>
          <w:sz w:val="24"/>
          <w:szCs w:val="24"/>
        </w:rPr>
      </w:pPr>
      <w:r w:rsidRPr="00A01CD2">
        <w:rPr>
          <w:rFonts w:cs="Times New Roman"/>
          <w:b/>
          <w:bCs/>
          <w:sz w:val="24"/>
          <w:szCs w:val="24"/>
        </w:rPr>
        <w:t>IN WITNESS WHEREOF</w:t>
      </w:r>
      <w:r w:rsidRPr="00A01CD2">
        <w:rPr>
          <w:rFonts w:cs="Times New Roman"/>
          <w:sz w:val="24"/>
          <w:szCs w:val="24"/>
        </w:rPr>
        <w:t>, the undersigned, being duly authorized by their respective Governments, have signed this Treaty.</w:t>
      </w:r>
    </w:p>
    <w:p w:rsidR="002102A5" w:rsidRPr="00A01CD2" w:rsidRDefault="002102A5" w:rsidP="002102A5">
      <w:pPr>
        <w:pStyle w:val="Body"/>
        <w:jc w:val="both"/>
        <w:rPr>
          <w:rFonts w:cs="Times New Roman"/>
          <w:sz w:val="24"/>
          <w:szCs w:val="24"/>
        </w:rPr>
      </w:pPr>
    </w:p>
    <w:p w:rsidR="00A06F5F" w:rsidRDefault="00A06F5F"/>
    <w:sectPr w:rsidR="00A06F5F" w:rsidSect="002102A5">
      <w:headerReference w:type="default" r:id="rId7"/>
      <w:pgSz w:w="11900" w:h="16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8F5" w:rsidRDefault="002118F5" w:rsidP="00772589">
      <w:r>
        <w:separator/>
      </w:r>
    </w:p>
  </w:endnote>
  <w:endnote w:type="continuationSeparator" w:id="1">
    <w:p w:rsidR="002118F5" w:rsidRDefault="002118F5" w:rsidP="00772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8F5" w:rsidRDefault="002118F5" w:rsidP="00772589">
      <w:r>
        <w:separator/>
      </w:r>
    </w:p>
  </w:footnote>
  <w:footnote w:type="continuationSeparator" w:id="1">
    <w:p w:rsidR="002118F5" w:rsidRDefault="002118F5" w:rsidP="00772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E3" w:rsidRPr="00756A97" w:rsidRDefault="00A32772" w:rsidP="00756A97">
    <w:pPr>
      <w:pStyle w:val="HeaderFooter"/>
      <w:jc w:val="center"/>
      <w:rPr>
        <w:rFonts w:ascii="Book Antiqua" w:hAnsi="Book Antiqua"/>
        <w:b/>
      </w:rPr>
    </w:pPr>
    <w:r w:rsidRPr="00756A97">
      <w:rPr>
        <w:rFonts w:ascii="Book Antiqua" w:hAnsi="Book Antiqua"/>
        <w:b/>
      </w:rPr>
      <w:t>10</w:t>
    </w:r>
    <w:r w:rsidRPr="00756A97">
      <w:rPr>
        <w:rFonts w:ascii="Book Antiqua" w:hAnsi="Book Antiqua"/>
        <w:b/>
        <w:vertAlign w:val="superscript"/>
      </w:rPr>
      <w:t>th</w:t>
    </w:r>
    <w:r w:rsidRPr="00756A97">
      <w:rPr>
        <w:rFonts w:ascii="Book Antiqua" w:hAnsi="Book Antiqua"/>
        <w:b/>
      </w:rPr>
      <w:t xml:space="preserve"> V.S. Mani Memorial </w:t>
    </w:r>
    <w:r w:rsidR="00756A97" w:rsidRPr="00756A97">
      <w:rPr>
        <w:rFonts w:ascii="Book Antiqua" w:hAnsi="Book Antiqua"/>
        <w:b/>
      </w:rPr>
      <w:t xml:space="preserve">International Law </w:t>
    </w:r>
    <w:r w:rsidRPr="00756A97">
      <w:rPr>
        <w:rFonts w:ascii="Book Antiqua" w:hAnsi="Book Antiqua"/>
        <w:b/>
      </w:rPr>
      <w:t>Moot C</w:t>
    </w:r>
    <w:r w:rsidR="00756A97" w:rsidRPr="00756A97">
      <w:rPr>
        <w:rFonts w:ascii="Book Antiqua" w:hAnsi="Book Antiqua"/>
        <w:b/>
      </w:rPr>
      <w:t>ourt Competition,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DF7"/>
    <w:multiLevelType w:val="hybridMultilevel"/>
    <w:tmpl w:val="9DC4FA4E"/>
    <w:styleLink w:val="ImportedStyle15"/>
    <w:lvl w:ilvl="0" w:tplc="1E7A94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4EC87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C012C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DA623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6C161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FAB15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C871C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18EAC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3285B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CB77114"/>
    <w:multiLevelType w:val="hybridMultilevel"/>
    <w:tmpl w:val="C42E98FA"/>
    <w:styleLink w:val="ImportedStyle14"/>
    <w:lvl w:ilvl="0" w:tplc="312CC3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208F4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0AE43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64AE5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38A32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18FAF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72548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3A85F8">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30897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DE77FFE"/>
    <w:multiLevelType w:val="hybridMultilevel"/>
    <w:tmpl w:val="C42E98FA"/>
    <w:numStyleLink w:val="ImportedStyle14"/>
  </w:abstractNum>
  <w:abstractNum w:abstractNumId="3">
    <w:nsid w:val="119F340B"/>
    <w:multiLevelType w:val="hybridMultilevel"/>
    <w:tmpl w:val="94AE7BF4"/>
    <w:numStyleLink w:val="ImportedStyle12"/>
  </w:abstractNum>
  <w:abstractNum w:abstractNumId="4">
    <w:nsid w:val="13235220"/>
    <w:multiLevelType w:val="hybridMultilevel"/>
    <w:tmpl w:val="9DC4FA4E"/>
    <w:numStyleLink w:val="ImportedStyle15"/>
  </w:abstractNum>
  <w:abstractNum w:abstractNumId="5">
    <w:nsid w:val="252F3483"/>
    <w:multiLevelType w:val="hybridMultilevel"/>
    <w:tmpl w:val="C7D6E03C"/>
    <w:numStyleLink w:val="ImportedStyle19"/>
  </w:abstractNum>
  <w:abstractNum w:abstractNumId="6">
    <w:nsid w:val="30706BF9"/>
    <w:multiLevelType w:val="hybridMultilevel"/>
    <w:tmpl w:val="09BE3A18"/>
    <w:styleLink w:val="ImportedStyle17"/>
    <w:lvl w:ilvl="0" w:tplc="0C6E17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BE875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98944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32171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4AADE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30227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5C893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96304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C0FD1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B2377DF"/>
    <w:multiLevelType w:val="hybridMultilevel"/>
    <w:tmpl w:val="8C7CEA48"/>
    <w:numStyleLink w:val="ImportedStyle13"/>
  </w:abstractNum>
  <w:abstractNum w:abstractNumId="8">
    <w:nsid w:val="40844409"/>
    <w:multiLevelType w:val="hybridMultilevel"/>
    <w:tmpl w:val="8C7CEA48"/>
    <w:styleLink w:val="ImportedStyle13"/>
    <w:lvl w:ilvl="0" w:tplc="86DC04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DAF3A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70AA6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D457D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49312">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849ED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B8F5A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14C82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DA920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9730A29"/>
    <w:multiLevelType w:val="hybridMultilevel"/>
    <w:tmpl w:val="6EECF2A2"/>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A084D5A"/>
    <w:multiLevelType w:val="hybridMultilevel"/>
    <w:tmpl w:val="09BE3A18"/>
    <w:numStyleLink w:val="ImportedStyle17"/>
  </w:abstractNum>
  <w:abstractNum w:abstractNumId="11">
    <w:nsid w:val="4BEC6CC4"/>
    <w:multiLevelType w:val="hybridMultilevel"/>
    <w:tmpl w:val="C7D6E03C"/>
    <w:styleLink w:val="ImportedStyle19"/>
    <w:lvl w:ilvl="0" w:tplc="F2C88D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50B30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85A3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962BD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D04D8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10D72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C675D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80B3B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BA7D0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EF97F63"/>
    <w:multiLevelType w:val="hybridMultilevel"/>
    <w:tmpl w:val="9D88EB84"/>
    <w:styleLink w:val="ImportedStyle16"/>
    <w:lvl w:ilvl="0" w:tplc="B0042F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A6D2E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9CFC8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D45E0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608C9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E0FE9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3FCFEB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C250A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205D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F7F7FB3"/>
    <w:multiLevelType w:val="hybridMultilevel"/>
    <w:tmpl w:val="9D88EB84"/>
    <w:numStyleLink w:val="ImportedStyle16"/>
  </w:abstractNum>
  <w:abstractNum w:abstractNumId="14">
    <w:nsid w:val="53AC3277"/>
    <w:multiLevelType w:val="hybridMultilevel"/>
    <w:tmpl w:val="834CA462"/>
    <w:styleLink w:val="ImportedStyle20"/>
    <w:lvl w:ilvl="0" w:tplc="F0FC7D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F2328E">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60545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08EFE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EADC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A88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CE8C6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E8CFC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3A1BE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650092E"/>
    <w:multiLevelType w:val="hybridMultilevel"/>
    <w:tmpl w:val="E0C8DBDE"/>
    <w:numStyleLink w:val="ImportedStyle18"/>
  </w:abstractNum>
  <w:abstractNum w:abstractNumId="16">
    <w:nsid w:val="603D42FF"/>
    <w:multiLevelType w:val="hybridMultilevel"/>
    <w:tmpl w:val="834CA462"/>
    <w:numStyleLink w:val="ImportedStyle20"/>
  </w:abstractNum>
  <w:abstractNum w:abstractNumId="17">
    <w:nsid w:val="6A0C1C32"/>
    <w:multiLevelType w:val="hybridMultilevel"/>
    <w:tmpl w:val="E0C8DBDE"/>
    <w:styleLink w:val="ImportedStyle18"/>
    <w:lvl w:ilvl="0" w:tplc="5C5EFF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D4DC3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065F4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0A8F1B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72B19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3ADE6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70C68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B0D90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56C11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20B5283"/>
    <w:multiLevelType w:val="hybridMultilevel"/>
    <w:tmpl w:val="E46204C4"/>
    <w:numStyleLink w:val="Numbered"/>
  </w:abstractNum>
  <w:abstractNum w:abstractNumId="19">
    <w:nsid w:val="75ED5350"/>
    <w:multiLevelType w:val="hybridMultilevel"/>
    <w:tmpl w:val="E46204C4"/>
    <w:styleLink w:val="Numbered"/>
    <w:lvl w:ilvl="0" w:tplc="0DDE822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DEA7E0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EE4029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13DC26A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1CE49E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B207BA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5E88FF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5A818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C0C6103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76AC6906"/>
    <w:multiLevelType w:val="hybridMultilevel"/>
    <w:tmpl w:val="94AE7BF4"/>
    <w:styleLink w:val="ImportedStyle12"/>
    <w:lvl w:ilvl="0" w:tplc="B10EF1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E841F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D0F44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0E7DE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88B40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CAFE8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5E41DC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E0C2D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2ED9A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18"/>
    <w:lvlOverride w:ilvl="0">
      <w:lvl w:ilvl="0" w:tplc="A3C44910">
        <w:start w:val="1"/>
        <w:numFmt w:val="decimal"/>
        <w:lvlText w:val="%1."/>
        <w:lvlJc w:val="left"/>
        <w:pPr>
          <w:ind w:left="360" w:hanging="360"/>
        </w:pPr>
      </w:lvl>
    </w:lvlOverride>
    <w:lvlOverride w:ilvl="1">
      <w:lvl w:ilvl="1" w:tplc="697C1B32" w:tentative="1">
        <w:start w:val="1"/>
        <w:numFmt w:val="lowerLetter"/>
        <w:lvlText w:val="%2."/>
        <w:lvlJc w:val="left"/>
        <w:pPr>
          <w:ind w:left="1080" w:hanging="360"/>
        </w:pPr>
      </w:lvl>
    </w:lvlOverride>
    <w:lvlOverride w:ilvl="2">
      <w:lvl w:ilvl="2" w:tplc="A98AAA7A" w:tentative="1">
        <w:start w:val="1"/>
        <w:numFmt w:val="lowerRoman"/>
        <w:lvlText w:val="%3."/>
        <w:lvlJc w:val="right"/>
        <w:pPr>
          <w:ind w:left="1800" w:hanging="180"/>
        </w:pPr>
      </w:lvl>
    </w:lvlOverride>
    <w:lvlOverride w:ilvl="3">
      <w:lvl w:ilvl="3" w:tplc="98961BAC" w:tentative="1">
        <w:start w:val="1"/>
        <w:numFmt w:val="decimal"/>
        <w:lvlText w:val="%4."/>
        <w:lvlJc w:val="left"/>
        <w:pPr>
          <w:ind w:left="2520" w:hanging="360"/>
        </w:pPr>
      </w:lvl>
    </w:lvlOverride>
    <w:lvlOverride w:ilvl="4">
      <w:lvl w:ilvl="4" w:tplc="03B8E338" w:tentative="1">
        <w:start w:val="1"/>
        <w:numFmt w:val="lowerLetter"/>
        <w:lvlText w:val="%5."/>
        <w:lvlJc w:val="left"/>
        <w:pPr>
          <w:ind w:left="3240" w:hanging="360"/>
        </w:pPr>
      </w:lvl>
    </w:lvlOverride>
    <w:lvlOverride w:ilvl="5">
      <w:lvl w:ilvl="5" w:tplc="68BC4D78" w:tentative="1">
        <w:start w:val="1"/>
        <w:numFmt w:val="lowerRoman"/>
        <w:lvlText w:val="%6."/>
        <w:lvlJc w:val="right"/>
        <w:pPr>
          <w:ind w:left="3960" w:hanging="180"/>
        </w:pPr>
      </w:lvl>
    </w:lvlOverride>
    <w:lvlOverride w:ilvl="6">
      <w:lvl w:ilvl="6" w:tplc="76E6E44E" w:tentative="1">
        <w:start w:val="1"/>
        <w:numFmt w:val="decimal"/>
        <w:lvlText w:val="%7."/>
        <w:lvlJc w:val="left"/>
        <w:pPr>
          <w:ind w:left="4680" w:hanging="360"/>
        </w:pPr>
      </w:lvl>
    </w:lvlOverride>
    <w:lvlOverride w:ilvl="7">
      <w:lvl w:ilvl="7" w:tplc="118800B6" w:tentative="1">
        <w:start w:val="1"/>
        <w:numFmt w:val="lowerLetter"/>
        <w:lvlText w:val="%8."/>
        <w:lvlJc w:val="left"/>
        <w:pPr>
          <w:ind w:left="5400" w:hanging="360"/>
        </w:pPr>
      </w:lvl>
    </w:lvlOverride>
    <w:lvlOverride w:ilvl="8">
      <w:lvl w:ilvl="8" w:tplc="A1AEFFDC" w:tentative="1">
        <w:start w:val="1"/>
        <w:numFmt w:val="lowerRoman"/>
        <w:lvlText w:val="%9."/>
        <w:lvlJc w:val="right"/>
        <w:pPr>
          <w:ind w:left="6120" w:hanging="180"/>
        </w:pPr>
      </w:lvl>
    </w:lvlOverride>
  </w:num>
  <w:num w:numId="3">
    <w:abstractNumId w:val="20"/>
  </w:num>
  <w:num w:numId="4">
    <w:abstractNumId w:val="3"/>
  </w:num>
  <w:num w:numId="5">
    <w:abstractNumId w:val="8"/>
  </w:num>
  <w:num w:numId="6">
    <w:abstractNumId w:val="7"/>
  </w:num>
  <w:num w:numId="7">
    <w:abstractNumId w:val="1"/>
  </w:num>
  <w:num w:numId="8">
    <w:abstractNumId w:val="2"/>
  </w:num>
  <w:num w:numId="9">
    <w:abstractNumId w:val="0"/>
  </w:num>
  <w:num w:numId="10">
    <w:abstractNumId w:val="4"/>
  </w:num>
  <w:num w:numId="11">
    <w:abstractNumId w:val="12"/>
  </w:num>
  <w:num w:numId="12">
    <w:abstractNumId w:val="13"/>
  </w:num>
  <w:num w:numId="13">
    <w:abstractNumId w:val="6"/>
  </w:num>
  <w:num w:numId="14">
    <w:abstractNumId w:val="10"/>
  </w:num>
  <w:num w:numId="15">
    <w:abstractNumId w:val="17"/>
  </w:num>
  <w:num w:numId="16">
    <w:abstractNumId w:val="15"/>
  </w:num>
  <w:num w:numId="17">
    <w:abstractNumId w:val="11"/>
  </w:num>
  <w:num w:numId="18">
    <w:abstractNumId w:val="5"/>
  </w:num>
  <w:num w:numId="19">
    <w:abstractNumId w:val="14"/>
  </w:num>
  <w:num w:numId="20">
    <w:abstractNumId w:val="1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2102A5"/>
    <w:rsid w:val="00073CA2"/>
    <w:rsid w:val="002102A5"/>
    <w:rsid w:val="002118F5"/>
    <w:rsid w:val="00363D15"/>
    <w:rsid w:val="00401D92"/>
    <w:rsid w:val="005B0473"/>
    <w:rsid w:val="00756A97"/>
    <w:rsid w:val="00772589"/>
    <w:rsid w:val="00A06F5F"/>
    <w:rsid w:val="00A32772"/>
    <w:rsid w:val="00B24A4D"/>
    <w:rsid w:val="00B6157A"/>
    <w:rsid w:val="00EC57B5"/>
    <w:rsid w:val="00FD4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A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102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N" w:eastAsia="en-GB"/>
    </w:rPr>
  </w:style>
  <w:style w:type="paragraph" w:customStyle="1" w:styleId="Body">
    <w:name w:val="Body"/>
    <w:rsid w:val="002102A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GB"/>
    </w:rPr>
  </w:style>
  <w:style w:type="numbering" w:customStyle="1" w:styleId="Numbered">
    <w:name w:val="Numbered"/>
    <w:rsid w:val="002102A5"/>
    <w:pPr>
      <w:numPr>
        <w:numId w:val="1"/>
      </w:numPr>
    </w:pPr>
  </w:style>
  <w:style w:type="paragraph" w:customStyle="1" w:styleId="Heading">
    <w:name w:val="Heading"/>
    <w:next w:val="Body"/>
    <w:rsid w:val="002102A5"/>
    <w:pPr>
      <w:keepNext/>
      <w:keepLines/>
      <w:pBdr>
        <w:top w:val="nil"/>
        <w:left w:val="nil"/>
        <w:bottom w:val="nil"/>
        <w:right w:val="nil"/>
        <w:between w:val="nil"/>
        <w:bar w:val="nil"/>
      </w:pBdr>
      <w:spacing w:before="240" w:after="0" w:line="240" w:lineRule="auto"/>
      <w:outlineLvl w:val="0"/>
    </w:pPr>
    <w:rPr>
      <w:rFonts w:ascii="Times New Roman" w:eastAsia="Arial Unicode MS" w:hAnsi="Times New Roman" w:cs="Arial Unicode MS"/>
      <w:b/>
      <w:bCs/>
      <w:color w:val="000000"/>
      <w:sz w:val="32"/>
      <w:szCs w:val="32"/>
      <w:u w:color="000000"/>
      <w:bdr w:val="nil"/>
      <w:lang w:eastAsia="en-GB"/>
    </w:rPr>
  </w:style>
  <w:style w:type="numbering" w:customStyle="1" w:styleId="ImportedStyle12">
    <w:name w:val="Imported Style 12"/>
    <w:rsid w:val="002102A5"/>
    <w:pPr>
      <w:numPr>
        <w:numId w:val="3"/>
      </w:numPr>
    </w:pPr>
  </w:style>
  <w:style w:type="numbering" w:customStyle="1" w:styleId="ImportedStyle13">
    <w:name w:val="Imported Style 13"/>
    <w:rsid w:val="002102A5"/>
    <w:pPr>
      <w:numPr>
        <w:numId w:val="5"/>
      </w:numPr>
    </w:pPr>
  </w:style>
  <w:style w:type="numbering" w:customStyle="1" w:styleId="ImportedStyle14">
    <w:name w:val="Imported Style 14"/>
    <w:rsid w:val="002102A5"/>
    <w:pPr>
      <w:numPr>
        <w:numId w:val="7"/>
      </w:numPr>
    </w:pPr>
  </w:style>
  <w:style w:type="numbering" w:customStyle="1" w:styleId="ImportedStyle15">
    <w:name w:val="Imported Style 15"/>
    <w:rsid w:val="002102A5"/>
    <w:pPr>
      <w:numPr>
        <w:numId w:val="9"/>
      </w:numPr>
    </w:pPr>
  </w:style>
  <w:style w:type="numbering" w:customStyle="1" w:styleId="ImportedStyle16">
    <w:name w:val="Imported Style 16"/>
    <w:rsid w:val="002102A5"/>
    <w:pPr>
      <w:numPr>
        <w:numId w:val="11"/>
      </w:numPr>
    </w:pPr>
  </w:style>
  <w:style w:type="numbering" w:customStyle="1" w:styleId="ImportedStyle17">
    <w:name w:val="Imported Style 17"/>
    <w:rsid w:val="002102A5"/>
    <w:pPr>
      <w:numPr>
        <w:numId w:val="13"/>
      </w:numPr>
    </w:pPr>
  </w:style>
  <w:style w:type="numbering" w:customStyle="1" w:styleId="ImportedStyle18">
    <w:name w:val="Imported Style 18"/>
    <w:rsid w:val="002102A5"/>
    <w:pPr>
      <w:numPr>
        <w:numId w:val="15"/>
      </w:numPr>
    </w:pPr>
  </w:style>
  <w:style w:type="numbering" w:customStyle="1" w:styleId="ImportedStyle19">
    <w:name w:val="Imported Style 19"/>
    <w:rsid w:val="002102A5"/>
    <w:pPr>
      <w:numPr>
        <w:numId w:val="17"/>
      </w:numPr>
    </w:pPr>
  </w:style>
  <w:style w:type="numbering" w:customStyle="1" w:styleId="ImportedStyle20">
    <w:name w:val="Imported Style 20"/>
    <w:rsid w:val="002102A5"/>
    <w:pPr>
      <w:numPr>
        <w:numId w:val="19"/>
      </w:numPr>
    </w:pPr>
  </w:style>
  <w:style w:type="paragraph" w:styleId="ListParagraph">
    <w:name w:val="List Paragraph"/>
    <w:basedOn w:val="Normal"/>
    <w:uiPriority w:val="34"/>
    <w:qFormat/>
    <w:rsid w:val="002102A5"/>
    <w:pPr>
      <w:ind w:left="720"/>
      <w:contextualSpacing/>
    </w:pPr>
  </w:style>
  <w:style w:type="paragraph" w:customStyle="1" w:styleId="Default">
    <w:name w:val="Default"/>
    <w:rsid w:val="002102A5"/>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semiHidden/>
    <w:unhideWhenUsed/>
    <w:rsid w:val="00A32772"/>
    <w:pPr>
      <w:tabs>
        <w:tab w:val="center" w:pos="4680"/>
        <w:tab w:val="right" w:pos="9360"/>
      </w:tabs>
    </w:pPr>
  </w:style>
  <w:style w:type="character" w:customStyle="1" w:styleId="HeaderChar">
    <w:name w:val="Header Char"/>
    <w:basedOn w:val="DefaultParagraphFont"/>
    <w:link w:val="Header"/>
    <w:uiPriority w:val="99"/>
    <w:semiHidden/>
    <w:rsid w:val="00A32772"/>
    <w:rPr>
      <w:rFonts w:ascii="Times New Roman" w:eastAsia="Arial Unicode MS" w:hAnsi="Times New Roman" w:cs="Times New Roman"/>
      <w:sz w:val="24"/>
      <w:szCs w:val="24"/>
      <w:bdr w:val="nil"/>
    </w:rPr>
  </w:style>
  <w:style w:type="paragraph" w:styleId="Footer">
    <w:name w:val="footer"/>
    <w:basedOn w:val="Normal"/>
    <w:link w:val="FooterChar"/>
    <w:uiPriority w:val="99"/>
    <w:semiHidden/>
    <w:unhideWhenUsed/>
    <w:rsid w:val="00A32772"/>
    <w:pPr>
      <w:tabs>
        <w:tab w:val="center" w:pos="4680"/>
        <w:tab w:val="right" w:pos="9360"/>
      </w:tabs>
    </w:pPr>
  </w:style>
  <w:style w:type="character" w:customStyle="1" w:styleId="FooterChar">
    <w:name w:val="Footer Char"/>
    <w:basedOn w:val="DefaultParagraphFont"/>
    <w:link w:val="Footer"/>
    <w:uiPriority w:val="99"/>
    <w:semiHidden/>
    <w:rsid w:val="00A32772"/>
    <w:rPr>
      <w:rFonts w:ascii="Times New Roman" w:eastAsia="Arial Unicode MS" w:hAnsi="Times New Roman" w:cs="Times New Roman"/>
      <w:sz w:val="24"/>
      <w:szCs w:val="24"/>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JNU</dc:creator>
  <cp:lastModifiedBy>JNU</cp:lastModifiedBy>
  <cp:revision>3</cp:revision>
  <dcterms:created xsi:type="dcterms:W3CDTF">2024-02-03T09:10:00Z</dcterms:created>
  <dcterms:modified xsi:type="dcterms:W3CDTF">2024-02-03T11:11:00Z</dcterms:modified>
</cp:coreProperties>
</file>