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rPr>
          <w:rFonts w:ascii="Times New Roman"/>
          <w:sz w:val="9"/>
        </w:rPr>
      </w:pPr>
    </w:p>
    <w:p>
      <w:pPr>
        <w:spacing w:line="256" w:lineRule="auto" w:before="101"/>
        <w:ind w:left="1670" w:right="1680" w:firstLine="0"/>
        <w:jc w:val="center"/>
        <w:rPr>
          <w:b/>
          <w:sz w:val="28"/>
        </w:rPr>
      </w:pPr>
      <w:r>
        <w:rPr/>
        <w:drawing>
          <wp:anchor distT="0" distB="0" distL="0" distR="0" allowOverlap="1" layoutInCell="1" locked="0" behindDoc="0" simplePos="0" relativeHeight="251662336">
            <wp:simplePos x="0" y="0"/>
            <wp:positionH relativeFrom="page">
              <wp:posOffset>550544</wp:posOffset>
            </wp:positionH>
            <wp:positionV relativeFrom="paragraph">
              <wp:posOffset>55626</wp:posOffset>
            </wp:positionV>
            <wp:extent cx="880110" cy="1129665"/>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880110" cy="1129665"/>
                    </a:xfrm>
                    <a:prstGeom prst="rect">
                      <a:avLst/>
                    </a:prstGeom>
                  </pic:spPr>
                </pic:pic>
              </a:graphicData>
            </a:graphic>
          </wp:anchor>
        </w:drawing>
      </w:r>
      <w:r>
        <w:rPr>
          <w:b/>
          <w:color w:val="001F5F"/>
          <w:sz w:val="28"/>
        </w:rPr>
        <w:t>Centre for Research in Criminal Justice, Maharashtra National Law University Mumbai</w:t>
      </w:r>
    </w:p>
    <w:p>
      <w:pPr>
        <w:pStyle w:val="Heading1"/>
        <w:spacing w:before="163"/>
      </w:pPr>
      <w:r>
        <w:rPr>
          <w:color w:val="FF0000"/>
        </w:rPr>
        <w:t>National Conference on Reforms in Criminal Justice System –</w:t>
      </w:r>
    </w:p>
    <w:p>
      <w:pPr>
        <w:spacing w:before="27"/>
        <w:ind w:left="1680" w:right="1680" w:firstLine="0"/>
        <w:jc w:val="center"/>
        <w:rPr>
          <w:b/>
          <w:sz w:val="26"/>
        </w:rPr>
      </w:pPr>
      <w:r>
        <w:rPr>
          <w:b/>
          <w:color w:val="FF0000"/>
          <w:sz w:val="26"/>
        </w:rPr>
        <w:t>Revisiting Justice Malimath Committee Report</w:t>
      </w:r>
    </w:p>
    <w:p>
      <w:pPr>
        <w:pStyle w:val="Heading2"/>
        <w:spacing w:before="178"/>
        <w:ind w:left="1682"/>
      </w:pPr>
      <w:r>
        <w:rPr>
          <w:color w:val="1F3863"/>
        </w:rPr>
        <w:t>04</w:t>
      </w:r>
      <w:r>
        <w:rPr>
          <w:color w:val="1F3863"/>
          <w:position w:val="8"/>
          <w:sz w:val="16"/>
        </w:rPr>
        <w:t>th  </w:t>
      </w:r>
      <w:r>
        <w:rPr>
          <w:color w:val="1F3863"/>
        </w:rPr>
        <w:t>May 2019 (Saturday)</w:t>
      </w:r>
    </w:p>
    <w:p>
      <w:pPr>
        <w:pStyle w:val="BodyText"/>
        <w:rPr>
          <w:b/>
          <w:sz w:val="20"/>
        </w:rPr>
      </w:pPr>
    </w:p>
    <w:p>
      <w:pPr>
        <w:pStyle w:val="BodyText"/>
        <w:spacing w:before="7"/>
        <w:rPr>
          <w:b/>
        </w:rPr>
      </w:pPr>
    </w:p>
    <w:p>
      <w:pPr>
        <w:spacing w:after="0"/>
        <w:sectPr>
          <w:type w:val="continuous"/>
          <w:pgSz w:w="12240" w:h="18720"/>
          <w:pgMar w:top="0" w:bottom="280" w:left="760" w:right="600"/>
        </w:sectPr>
      </w:pPr>
    </w:p>
    <w:p>
      <w:pPr>
        <w:pStyle w:val="Heading3"/>
        <w:spacing w:before="100"/>
      </w:pPr>
      <w:r>
        <w:rPr/>
        <w:pict>
          <v:rect style="position:absolute;margin-left:0pt;margin-top:0pt;width:612pt;height:936pt;mso-position-horizontal-relative:page;mso-position-vertical-relative:page;z-index:-251891712" filled="true" fillcolor="#e7e6e6" stroked="false">
            <v:fill type="solid"/>
            <w10:wrap type="none"/>
          </v:rect>
        </w:pict>
      </w:r>
      <w:r>
        <w:rPr/>
        <w:pict>
          <v:group style="position:absolute;margin-left:27.1pt;margin-top:125.489998pt;width:359.1pt;height:558.950pt;mso-position-horizontal-relative:page;mso-position-vertical-relative:page;z-index:-251890688" coordorigin="542,2510" coordsize="7182,11179">
            <v:shape style="position:absolute;left:552;top:2519;width:7162;height:11159" coordorigin="552,2520" coordsize="7162,11159" path="m6520,2520l1746,2520,1670,2522,1596,2529,1523,2541,1452,2556,1382,2576,1314,2600,1248,2628,1185,2660,1123,2695,1064,2734,1007,2776,953,2821,902,2869,853,2921,808,2975,766,3031,727,3091,692,3152,660,3216,632,3282,608,3350,588,3420,573,3491,561,3564,554,3638,552,3713,552,12485,554,12560,561,12635,573,12708,588,12779,608,12849,632,12916,660,12982,692,13046,727,13108,766,13167,808,13224,853,13278,902,13329,953,13377,1007,13423,1064,13465,1123,13504,1185,13539,1248,13571,1314,13598,1382,13622,1452,13642,1523,13658,1596,13669,1670,13676,1746,13679,6520,13679,6596,13676,6670,13669,6743,13658,6814,13642,6884,13622,6952,13598,7018,13571,7082,13539,7143,13504,7202,13465,7259,13423,7313,13377,7364,13329,7413,13278,7458,13224,7500,13167,7539,13108,7574,13046,7606,12982,7634,12916,7658,12849,7678,12779,7693,12708,7705,12635,7712,12560,7714,12485,7714,3713,7712,3638,7705,3564,7693,3491,7678,3420,7658,3350,7634,3282,7606,3216,7574,3152,7539,3091,7500,3031,7458,2975,7413,2921,7364,2869,7313,2821,7259,2776,7202,2734,7143,2695,7082,2660,7018,2628,6952,2600,6884,2576,6814,2556,6743,2541,6670,2529,6596,2522,6520,2520xe" filled="true" fillcolor="#c5dfb4" stroked="false">
              <v:path arrowok="t"/>
              <v:fill type="solid"/>
            </v:shape>
            <v:shape style="position:absolute;left:552;top:2519;width:7162;height:11159" coordorigin="552,2520" coordsize="7162,11159" path="m552,3713l554,3638,561,3564,573,3491,588,3420,608,3350,632,3282,660,3216,692,3152,727,3091,766,3031,808,2975,853,2921,902,2869,953,2821,1007,2776,1064,2734,1123,2695,1185,2660,1248,2628,1314,2600,1382,2576,1452,2556,1523,2541,1596,2529,1670,2522,1746,2520,6520,2520,6596,2522,6670,2529,6743,2541,6814,2556,6884,2576,6952,2600,7018,2628,7082,2660,7143,2695,7202,2734,7259,2776,7313,2821,7364,2869,7413,2921,7458,2975,7500,3031,7539,3091,7574,3152,7606,3216,7634,3282,7658,3350,7678,3420,7693,3491,7705,3564,7712,3638,7714,3713,7714,12485,7712,12560,7705,12635,7693,12708,7678,12779,7658,12849,7634,12916,7606,12982,7574,13046,7539,13108,7500,13167,7458,13224,7413,13278,7364,13329,7313,13377,7259,13423,7202,13465,7143,13504,7082,13539,7018,13571,6952,13598,6884,13622,6814,13642,6743,13658,6670,13669,6596,13676,6520,13679,1746,13679,1670,13676,1596,13669,1523,13658,1452,13642,1382,13622,1314,13598,1248,13571,1185,13539,1123,13504,1064,13465,1007,13423,953,13377,902,13329,853,13278,808,13224,766,13167,727,13108,692,13046,660,12982,632,12916,608,12849,588,12779,573,12708,561,12635,554,12560,552,12485,552,3713xe" filled="false" stroked="true" strokeweight="1pt" strokecolor="#6fac46">
              <v:path arrowok="t"/>
              <v:stroke dashstyle="solid"/>
            </v:shape>
            <w10:wrap type="none"/>
          </v:group>
        </w:pict>
      </w:r>
      <w:r>
        <w:rPr/>
        <w:pict>
          <v:group style="position:absolute;margin-left:392.549988pt;margin-top:0pt;width:218.65pt;height:684.15pt;mso-position-horizontal-relative:page;mso-position-vertical-relative:page;z-index:-251889664" coordorigin="7851,0" coordsize="4373,13683">
            <v:shape style="position:absolute;left:7861;top:2513;width:3800;height:11159" coordorigin="7861,2514" coordsize="3800,11159" path="m11028,2514l8494,2514,8421,2518,8349,2531,8281,2551,8216,2578,8155,2612,8098,2653,8047,2699,8000,2751,7960,2808,7925,2868,7898,2933,7878,3002,7865,3073,7861,3147,7861,13039,7865,13113,7878,13185,7898,13253,7925,13318,7960,13379,8000,13436,8047,13487,8098,13534,8155,13574,8216,13608,8281,13636,8349,13656,8421,13669,8494,13673,11028,13673,11101,13669,11173,13656,11241,13636,11306,13608,11367,13574,11424,13534,11475,13487,11522,13436,11562,13379,11597,13318,11624,13253,11644,13185,11657,13113,11661,13039,11661,3147,11657,3073,11644,3002,11624,2933,11597,2868,11562,2808,11522,2751,11475,2699,11424,2653,11367,2612,11306,2578,11241,2551,11173,2531,11101,2518,11028,2514xe" filled="true" fillcolor="#6fac46" stroked="false">
              <v:path arrowok="t"/>
              <v:fill type="solid"/>
            </v:shape>
            <v:shape style="position:absolute;left:7861;top:2513;width:3800;height:11159" coordorigin="7861,2514" coordsize="3800,11159" path="m7861,3147l7865,3073,7878,3002,7898,2933,7925,2868,7960,2808,8000,2751,8047,2699,8098,2653,8155,2612,8216,2578,8281,2551,8349,2531,8421,2518,8494,2514,11028,2514,11101,2518,11173,2531,11241,2551,11306,2578,11367,2612,11424,2653,11475,2699,11522,2751,11562,2808,11597,2868,11624,2933,11644,3002,11657,3073,11661,3147,11661,13039,11657,13113,11644,13185,11624,13253,11597,13318,11562,13379,11522,13436,11475,13487,11424,13534,11367,13574,11306,13608,11241,13636,11173,13656,11101,13669,11028,13673,8494,13673,8421,13669,8349,13656,8281,13636,8216,13608,8155,13574,8098,13534,8047,13487,8000,13436,7960,13379,7925,13318,7898,13253,7878,13185,7865,13113,7861,13039,7861,3147xe" filled="false" stroked="true" strokeweight="1.0pt" strokecolor="#6fac46">
              <v:path arrowok="t"/>
              <v:stroke dashstyle="solid"/>
            </v:shape>
            <v:shape style="position:absolute;left:10129;top:0;width:2095;height:2516" type="#_x0000_t75" stroked="false">
              <v:imagedata r:id="rId6" o:title=""/>
            </v:shape>
            <w10:wrap type="none"/>
          </v:group>
        </w:pict>
      </w:r>
      <w:r>
        <w:rPr/>
        <w:pict>
          <v:group style="position:absolute;margin-left:27.950001pt;margin-top:692.48999pt;width:556pt;height:214.9pt;mso-position-horizontal-relative:page;mso-position-vertical-relative:page;z-index:-251888640" coordorigin="559,13850" coordsize="11120,4298">
            <v:shape style="position:absolute;left:569;top:13859;width:11100;height:4278" coordorigin="569,13860" coordsize="11100,4278" path="m10956,13860l1282,13860,1204,13864,1129,13876,1057,13896,987,13923,922,13957,861,13997,804,14043,753,14095,707,14152,666,14213,632,14278,605,14347,585,14420,573,14495,569,14573,569,17424,573,17502,585,17577,605,17649,632,17718,666,17784,707,17845,753,17902,804,17953,861,17999,922,18040,987,18073,1057,18101,1129,18120,1204,18133,1282,18137,10956,18137,11034,18133,11109,18120,11181,18101,11251,18073,11316,18040,11377,17999,11434,17953,11485,17902,11531,17845,11572,17784,11606,17718,11633,17649,11653,17577,11665,17502,11669,17424,11669,14573,11665,14495,11653,14420,11633,14347,11606,14278,11572,14213,11531,14152,11485,14095,11434,14043,11377,13997,11316,13957,11251,13923,11181,13896,11109,13876,11034,13864,10956,13860xe" filled="true" fillcolor="#e1efd9" stroked="false">
              <v:path arrowok="t"/>
              <v:fill type="solid"/>
            </v:shape>
            <v:shape style="position:absolute;left:569;top:13859;width:11100;height:4278" coordorigin="569,13860" coordsize="11100,4278" path="m569,14573l573,14495,585,14420,605,14347,632,14278,666,14213,707,14152,753,14095,804,14043,861,13997,922,13957,987,13923,1057,13896,1129,13876,1204,13864,1282,13860,10956,13860,11034,13864,11109,13876,11181,13896,11251,13923,11316,13957,11377,13997,11434,14043,11485,14095,11531,14152,11572,14213,11606,14278,11633,14347,11653,14420,11665,14495,11669,14573,11669,17424,11665,17502,11653,17577,11633,17649,11606,17718,11572,17784,11531,17845,11485,17902,11434,17953,11377,17999,11316,18040,11251,18073,11181,18101,11109,18120,11034,18133,10956,18137,1282,18137,1204,18133,1129,18120,1057,18101,987,18073,922,18040,861,17999,804,17953,753,17902,707,17845,666,17784,632,17718,605,17649,585,17577,573,17502,569,17424,569,14573xe" filled="false" stroked="true" strokeweight="1.0pt" strokecolor="#6fac46">
              <v:path arrowok="t"/>
              <v:stroke dashstyle="solid"/>
            </v:shape>
            <w10:wrap type="none"/>
          </v:group>
        </w:pict>
      </w:r>
      <w:r>
        <w:rPr>
          <w:color w:val="1F3863"/>
        </w:rPr>
        <w:t>About the University</w:t>
      </w:r>
    </w:p>
    <w:p>
      <w:pPr>
        <w:pStyle w:val="BodyText"/>
        <w:spacing w:line="259" w:lineRule="auto" w:before="175"/>
        <w:ind w:left="170"/>
        <w:jc w:val="both"/>
      </w:pPr>
      <w:r>
        <w:rPr>
          <w:color w:val="1F3863"/>
        </w:rPr>
        <w:t>Maharashtra National Law University Mumbai (MNLU M) is one of the premier institutions</w:t>
      </w:r>
      <w:r>
        <w:rPr>
          <w:color w:val="1F3863"/>
          <w:spacing w:val="-10"/>
        </w:rPr>
        <w:t> </w:t>
      </w:r>
      <w:r>
        <w:rPr>
          <w:color w:val="1F3863"/>
        </w:rPr>
        <w:t>of</w:t>
      </w:r>
      <w:r>
        <w:rPr>
          <w:color w:val="1F3863"/>
          <w:spacing w:val="-4"/>
        </w:rPr>
        <w:t> </w:t>
      </w:r>
      <w:r>
        <w:rPr>
          <w:color w:val="1F3863"/>
        </w:rPr>
        <w:t>India</w:t>
      </w:r>
      <w:r>
        <w:rPr>
          <w:color w:val="1F3863"/>
          <w:spacing w:val="-6"/>
        </w:rPr>
        <w:t> </w:t>
      </w:r>
      <w:r>
        <w:rPr>
          <w:color w:val="1F3863"/>
        </w:rPr>
        <w:t>imparting</w:t>
      </w:r>
      <w:r>
        <w:rPr>
          <w:color w:val="1F3863"/>
          <w:spacing w:val="-4"/>
        </w:rPr>
        <w:t> </w:t>
      </w:r>
      <w:r>
        <w:rPr>
          <w:color w:val="1F3863"/>
        </w:rPr>
        <w:t>legal</w:t>
      </w:r>
      <w:r>
        <w:rPr>
          <w:color w:val="1F3863"/>
          <w:spacing w:val="-6"/>
        </w:rPr>
        <w:t> </w:t>
      </w:r>
      <w:r>
        <w:rPr>
          <w:color w:val="1F3863"/>
        </w:rPr>
        <w:t>education.</w:t>
      </w:r>
      <w:r>
        <w:rPr>
          <w:color w:val="1F3863"/>
          <w:spacing w:val="-5"/>
        </w:rPr>
        <w:t> </w:t>
      </w:r>
      <w:r>
        <w:rPr>
          <w:color w:val="1F3863"/>
        </w:rPr>
        <w:t>MNLU</w:t>
      </w:r>
      <w:r>
        <w:rPr>
          <w:color w:val="1F3863"/>
          <w:spacing w:val="-10"/>
        </w:rPr>
        <w:t> </w:t>
      </w:r>
      <w:r>
        <w:rPr>
          <w:color w:val="1F3863"/>
        </w:rPr>
        <w:t>M</w:t>
      </w:r>
      <w:r>
        <w:rPr>
          <w:color w:val="1F3863"/>
          <w:spacing w:val="-3"/>
        </w:rPr>
        <w:t> </w:t>
      </w:r>
      <w:r>
        <w:rPr>
          <w:color w:val="1F3863"/>
        </w:rPr>
        <w:t>offers</w:t>
      </w:r>
      <w:r>
        <w:rPr>
          <w:color w:val="1F3863"/>
          <w:spacing w:val="-10"/>
        </w:rPr>
        <w:t> </w:t>
      </w:r>
      <w:r>
        <w:rPr>
          <w:color w:val="1F3863"/>
        </w:rPr>
        <w:t>five</w:t>
      </w:r>
      <w:r>
        <w:rPr>
          <w:color w:val="1F3863"/>
          <w:spacing w:val="-4"/>
        </w:rPr>
        <w:t> </w:t>
      </w:r>
      <w:r>
        <w:rPr>
          <w:color w:val="1F3863"/>
        </w:rPr>
        <w:t>years</w:t>
      </w:r>
      <w:r>
        <w:rPr>
          <w:color w:val="1F3863"/>
          <w:spacing w:val="-9"/>
        </w:rPr>
        <w:t> </w:t>
      </w:r>
      <w:r>
        <w:rPr>
          <w:color w:val="1F3863"/>
        </w:rPr>
        <w:t>integrated</w:t>
      </w:r>
      <w:r>
        <w:rPr>
          <w:color w:val="1F3863"/>
          <w:spacing w:val="-9"/>
        </w:rPr>
        <w:t> </w:t>
      </w:r>
      <w:r>
        <w:rPr>
          <w:color w:val="1F3863"/>
        </w:rPr>
        <w:t>B.A., LL.B., LL.M. and Ph.D. MNLU M strives to fulfil the goals set out in the preamble of constitution by imparting justice education to the students which is accessible, innovating and in tune with principles of rule of law. Honourable Justice Sh. Sharad Arvind Bobde, Judge, Supreme Court of India is the Chancellor of the University. The University</w:t>
      </w:r>
      <w:r>
        <w:rPr>
          <w:color w:val="1F3863"/>
          <w:spacing w:val="-6"/>
        </w:rPr>
        <w:t> </w:t>
      </w:r>
      <w:r>
        <w:rPr>
          <w:color w:val="1F3863"/>
        </w:rPr>
        <w:t>apex</w:t>
      </w:r>
      <w:r>
        <w:rPr>
          <w:color w:val="1F3863"/>
          <w:spacing w:val="-2"/>
        </w:rPr>
        <w:t> </w:t>
      </w:r>
      <w:r>
        <w:rPr>
          <w:color w:val="1F3863"/>
        </w:rPr>
        <w:t>bodies,</w:t>
      </w:r>
      <w:r>
        <w:rPr>
          <w:color w:val="1F3863"/>
          <w:spacing w:val="-3"/>
        </w:rPr>
        <w:t> </w:t>
      </w:r>
      <w:r>
        <w:rPr>
          <w:color w:val="1F3863"/>
        </w:rPr>
        <w:t>General</w:t>
      </w:r>
      <w:r>
        <w:rPr>
          <w:color w:val="1F3863"/>
          <w:spacing w:val="-6"/>
        </w:rPr>
        <w:t> </w:t>
      </w:r>
      <w:r>
        <w:rPr>
          <w:color w:val="1F3863"/>
        </w:rPr>
        <w:t>Council,</w:t>
      </w:r>
      <w:r>
        <w:rPr>
          <w:color w:val="1F3863"/>
          <w:spacing w:val="-3"/>
        </w:rPr>
        <w:t> </w:t>
      </w:r>
      <w:r>
        <w:rPr>
          <w:color w:val="1F3863"/>
        </w:rPr>
        <w:t>Executive</w:t>
      </w:r>
      <w:r>
        <w:rPr>
          <w:color w:val="1F3863"/>
          <w:spacing w:val="-3"/>
        </w:rPr>
        <w:t> </w:t>
      </w:r>
      <w:r>
        <w:rPr>
          <w:color w:val="1F3863"/>
        </w:rPr>
        <w:t>Council</w:t>
      </w:r>
      <w:r>
        <w:rPr>
          <w:color w:val="1F3863"/>
          <w:spacing w:val="-5"/>
        </w:rPr>
        <w:t> </w:t>
      </w:r>
      <w:r>
        <w:rPr>
          <w:color w:val="1F3863"/>
        </w:rPr>
        <w:t>are</w:t>
      </w:r>
      <w:r>
        <w:rPr>
          <w:color w:val="1F3863"/>
          <w:spacing w:val="-3"/>
        </w:rPr>
        <w:t> </w:t>
      </w:r>
      <w:r>
        <w:rPr>
          <w:color w:val="1F3863"/>
        </w:rPr>
        <w:t>graced</w:t>
      </w:r>
      <w:r>
        <w:rPr>
          <w:color w:val="1F3863"/>
          <w:spacing w:val="-3"/>
        </w:rPr>
        <w:t> </w:t>
      </w:r>
      <w:r>
        <w:rPr>
          <w:color w:val="1F3863"/>
        </w:rPr>
        <w:t>with</w:t>
      </w:r>
      <w:r>
        <w:rPr>
          <w:color w:val="1F3863"/>
          <w:spacing w:val="-2"/>
        </w:rPr>
        <w:t> </w:t>
      </w:r>
      <w:r>
        <w:rPr>
          <w:color w:val="1F3863"/>
        </w:rPr>
        <w:t>the</w:t>
      </w:r>
      <w:r>
        <w:rPr>
          <w:color w:val="1F3863"/>
          <w:spacing w:val="-4"/>
        </w:rPr>
        <w:t> </w:t>
      </w:r>
      <w:r>
        <w:rPr>
          <w:color w:val="1F3863"/>
        </w:rPr>
        <w:t>presence of Judges of Supreme Court &amp; High Courts, Chief Minister, Education Minister, Eminent Academicians</w:t>
      </w:r>
      <w:r>
        <w:rPr>
          <w:color w:val="1F3863"/>
          <w:spacing w:val="-2"/>
        </w:rPr>
        <w:t> </w:t>
      </w:r>
      <w:r>
        <w:rPr>
          <w:color w:val="1F3863"/>
        </w:rPr>
        <w:t>etc.</w:t>
      </w:r>
    </w:p>
    <w:p>
      <w:pPr>
        <w:pStyle w:val="Heading3"/>
      </w:pPr>
      <w:r>
        <w:rPr>
          <w:color w:val="1F3863"/>
        </w:rPr>
        <w:t>About the Centre</w:t>
      </w:r>
    </w:p>
    <w:p>
      <w:pPr>
        <w:pStyle w:val="BodyText"/>
        <w:spacing w:line="259" w:lineRule="auto" w:before="179"/>
        <w:ind w:left="170" w:right="4"/>
        <w:jc w:val="both"/>
      </w:pPr>
      <w:r>
        <w:rPr>
          <w:color w:val="1F3863"/>
        </w:rPr>
        <w:t>The MNLU M Centre for Research in Criminal Justice (CRCJ) was inaugurated on 13th January 2018 by Hon’ble Justice Naresh Patil (Judge, Bombay High Court) and Honourable Justice A.S. Oka (Judge, Bombay High Court). The Centre strives to contribute to Criminal Justice System by working across theoretical, disciplinary and methodological</w:t>
      </w:r>
      <w:r>
        <w:rPr>
          <w:color w:val="1F3863"/>
          <w:spacing w:val="-12"/>
        </w:rPr>
        <w:t> </w:t>
      </w:r>
      <w:r>
        <w:rPr>
          <w:color w:val="1F3863"/>
        </w:rPr>
        <w:t>boundaries</w:t>
      </w:r>
      <w:r>
        <w:rPr>
          <w:color w:val="1F3863"/>
          <w:spacing w:val="-9"/>
        </w:rPr>
        <w:t> </w:t>
      </w:r>
      <w:r>
        <w:rPr>
          <w:color w:val="1F3863"/>
        </w:rPr>
        <w:t>to</w:t>
      </w:r>
      <w:r>
        <w:rPr>
          <w:color w:val="1F3863"/>
          <w:spacing w:val="-9"/>
        </w:rPr>
        <w:t> </w:t>
      </w:r>
      <w:r>
        <w:rPr>
          <w:color w:val="1F3863"/>
        </w:rPr>
        <w:t>create</w:t>
      </w:r>
      <w:r>
        <w:rPr>
          <w:color w:val="1F3863"/>
          <w:spacing w:val="-5"/>
        </w:rPr>
        <w:t> </w:t>
      </w:r>
      <w:r>
        <w:rPr>
          <w:color w:val="1F3863"/>
        </w:rPr>
        <w:t>innovative</w:t>
      </w:r>
      <w:r>
        <w:rPr>
          <w:color w:val="1F3863"/>
          <w:spacing w:val="-9"/>
        </w:rPr>
        <w:t> </w:t>
      </w:r>
      <w:r>
        <w:rPr>
          <w:color w:val="1F3863"/>
        </w:rPr>
        <w:t>ways</w:t>
      </w:r>
      <w:r>
        <w:rPr>
          <w:color w:val="1F3863"/>
          <w:spacing w:val="-10"/>
        </w:rPr>
        <w:t> </w:t>
      </w:r>
      <w:r>
        <w:rPr>
          <w:color w:val="1F3863"/>
        </w:rPr>
        <w:t>of</w:t>
      </w:r>
      <w:r>
        <w:rPr>
          <w:color w:val="1F3863"/>
          <w:spacing w:val="-5"/>
        </w:rPr>
        <w:t> </w:t>
      </w:r>
      <w:r>
        <w:rPr>
          <w:color w:val="1F3863"/>
        </w:rPr>
        <w:t>understanding</w:t>
      </w:r>
      <w:r>
        <w:rPr>
          <w:color w:val="1F3863"/>
          <w:spacing w:val="-4"/>
        </w:rPr>
        <w:t> </w:t>
      </w:r>
      <w:r>
        <w:rPr>
          <w:color w:val="1F3863"/>
        </w:rPr>
        <w:t>the</w:t>
      </w:r>
      <w:r>
        <w:rPr>
          <w:color w:val="1F3863"/>
          <w:spacing w:val="-9"/>
        </w:rPr>
        <w:t> </w:t>
      </w:r>
      <w:r>
        <w:rPr>
          <w:color w:val="1F3863"/>
        </w:rPr>
        <w:t>criminal</w:t>
      </w:r>
      <w:r>
        <w:rPr>
          <w:color w:val="1F3863"/>
          <w:spacing w:val="-11"/>
        </w:rPr>
        <w:t> </w:t>
      </w:r>
      <w:r>
        <w:rPr>
          <w:color w:val="1F3863"/>
        </w:rPr>
        <w:t>law, its interplay with society, and criminal justice. It aims at providing a theoretically grounded</w:t>
      </w:r>
      <w:r>
        <w:rPr>
          <w:color w:val="1F3863"/>
          <w:spacing w:val="-12"/>
        </w:rPr>
        <w:t> </w:t>
      </w:r>
      <w:r>
        <w:rPr>
          <w:color w:val="1F3863"/>
        </w:rPr>
        <w:t>framework</w:t>
      </w:r>
      <w:r>
        <w:rPr>
          <w:color w:val="1F3863"/>
          <w:spacing w:val="-15"/>
        </w:rPr>
        <w:t> </w:t>
      </w:r>
      <w:r>
        <w:rPr>
          <w:color w:val="1F3863"/>
        </w:rPr>
        <w:t>supported</w:t>
      </w:r>
      <w:r>
        <w:rPr>
          <w:color w:val="1F3863"/>
          <w:spacing w:val="-12"/>
        </w:rPr>
        <w:t> </w:t>
      </w:r>
      <w:r>
        <w:rPr>
          <w:color w:val="1F3863"/>
        </w:rPr>
        <w:t>by</w:t>
      </w:r>
      <w:r>
        <w:rPr>
          <w:color w:val="1F3863"/>
          <w:spacing w:val="-14"/>
        </w:rPr>
        <w:t> </w:t>
      </w:r>
      <w:r>
        <w:rPr>
          <w:color w:val="1F3863"/>
        </w:rPr>
        <w:t>an</w:t>
      </w:r>
      <w:r>
        <w:rPr>
          <w:color w:val="1F3863"/>
          <w:spacing w:val="-13"/>
        </w:rPr>
        <w:t> </w:t>
      </w:r>
      <w:r>
        <w:rPr>
          <w:color w:val="1F3863"/>
        </w:rPr>
        <w:t>empirical</w:t>
      </w:r>
      <w:r>
        <w:rPr>
          <w:color w:val="1F3863"/>
          <w:spacing w:val="-13"/>
        </w:rPr>
        <w:t> </w:t>
      </w:r>
      <w:r>
        <w:rPr>
          <w:color w:val="1F3863"/>
        </w:rPr>
        <w:t>research</w:t>
      </w:r>
      <w:r>
        <w:rPr>
          <w:color w:val="1F3863"/>
          <w:spacing w:val="-13"/>
        </w:rPr>
        <w:t> </w:t>
      </w:r>
      <w:r>
        <w:rPr>
          <w:color w:val="1F3863"/>
        </w:rPr>
        <w:t>on</w:t>
      </w:r>
      <w:r>
        <w:rPr>
          <w:color w:val="1F3863"/>
          <w:spacing w:val="-12"/>
        </w:rPr>
        <w:t> </w:t>
      </w:r>
      <w:r>
        <w:rPr>
          <w:color w:val="1F3863"/>
        </w:rPr>
        <w:t>criminal</w:t>
      </w:r>
      <w:r>
        <w:rPr>
          <w:color w:val="1F3863"/>
          <w:spacing w:val="-14"/>
        </w:rPr>
        <w:t> </w:t>
      </w:r>
      <w:r>
        <w:rPr>
          <w:color w:val="1F3863"/>
        </w:rPr>
        <w:t>laws</w:t>
      </w:r>
      <w:r>
        <w:rPr>
          <w:color w:val="1F3863"/>
          <w:spacing w:val="-14"/>
        </w:rPr>
        <w:t> </w:t>
      </w:r>
      <w:r>
        <w:rPr>
          <w:color w:val="1F3863"/>
        </w:rPr>
        <w:t>and</w:t>
      </w:r>
      <w:r>
        <w:rPr>
          <w:color w:val="1F3863"/>
          <w:spacing w:val="-11"/>
        </w:rPr>
        <w:t> </w:t>
      </w:r>
      <w:r>
        <w:rPr>
          <w:color w:val="1F3863"/>
        </w:rPr>
        <w:t>processes.</w:t>
      </w:r>
    </w:p>
    <w:p>
      <w:pPr>
        <w:pStyle w:val="Heading3"/>
      </w:pPr>
      <w:r>
        <w:rPr>
          <w:color w:val="1F3863"/>
        </w:rPr>
        <w:t>About the Conference</w:t>
      </w:r>
    </w:p>
    <w:p>
      <w:pPr>
        <w:pStyle w:val="BodyText"/>
        <w:spacing w:line="259" w:lineRule="auto" w:before="180"/>
        <w:ind w:left="170"/>
        <w:jc w:val="both"/>
      </w:pPr>
      <w:r>
        <w:rPr>
          <w:color w:val="1F3863"/>
        </w:rPr>
        <w:t>Reformation in the Criminal Justice System (CJS) is one of the ardent task for legal scholars and policy makers. Though, society has undergone a sea change due to advent of information technology, globalization and transformative constitutional jurisprudence,</w:t>
      </w:r>
      <w:r>
        <w:rPr>
          <w:color w:val="1F3863"/>
          <w:spacing w:val="-9"/>
        </w:rPr>
        <w:t> </w:t>
      </w:r>
      <w:r>
        <w:rPr>
          <w:color w:val="1F3863"/>
        </w:rPr>
        <w:t>criminal</w:t>
      </w:r>
      <w:r>
        <w:rPr>
          <w:color w:val="1F3863"/>
          <w:spacing w:val="-6"/>
        </w:rPr>
        <w:t> </w:t>
      </w:r>
      <w:r>
        <w:rPr>
          <w:color w:val="1F3863"/>
        </w:rPr>
        <w:t>law</w:t>
      </w:r>
      <w:r>
        <w:rPr>
          <w:color w:val="1F3863"/>
          <w:spacing w:val="-3"/>
        </w:rPr>
        <w:t> </w:t>
      </w:r>
      <w:r>
        <w:rPr>
          <w:color w:val="1F3863"/>
        </w:rPr>
        <w:t>barring</w:t>
      </w:r>
      <w:r>
        <w:rPr>
          <w:color w:val="1F3863"/>
          <w:spacing w:val="-5"/>
        </w:rPr>
        <w:t> </w:t>
      </w:r>
      <w:r>
        <w:rPr>
          <w:color w:val="1F3863"/>
        </w:rPr>
        <w:t>few</w:t>
      </w:r>
      <w:r>
        <w:rPr>
          <w:color w:val="1F3863"/>
          <w:spacing w:val="-4"/>
        </w:rPr>
        <w:t> </w:t>
      </w:r>
      <w:r>
        <w:rPr>
          <w:color w:val="1F3863"/>
        </w:rPr>
        <w:t>changes,</w:t>
      </w:r>
      <w:r>
        <w:rPr>
          <w:color w:val="1F3863"/>
          <w:spacing w:val="-5"/>
        </w:rPr>
        <w:t> </w:t>
      </w:r>
      <w:r>
        <w:rPr>
          <w:color w:val="1F3863"/>
        </w:rPr>
        <w:t>has</w:t>
      </w:r>
      <w:r>
        <w:rPr>
          <w:color w:val="1F3863"/>
          <w:spacing w:val="-10"/>
        </w:rPr>
        <w:t> </w:t>
      </w:r>
      <w:r>
        <w:rPr>
          <w:color w:val="1F3863"/>
        </w:rPr>
        <w:t>remained</w:t>
      </w:r>
      <w:r>
        <w:rPr>
          <w:color w:val="1F3863"/>
          <w:spacing w:val="-5"/>
        </w:rPr>
        <w:t> </w:t>
      </w:r>
      <w:r>
        <w:rPr>
          <w:color w:val="1F3863"/>
        </w:rPr>
        <w:t>as</w:t>
      </w:r>
      <w:r>
        <w:rPr>
          <w:color w:val="1F3863"/>
          <w:spacing w:val="-5"/>
        </w:rPr>
        <w:t> </w:t>
      </w:r>
      <w:r>
        <w:rPr>
          <w:color w:val="1F3863"/>
        </w:rPr>
        <w:t>a</w:t>
      </w:r>
      <w:r>
        <w:rPr>
          <w:color w:val="1F3863"/>
          <w:spacing w:val="-12"/>
        </w:rPr>
        <w:t> </w:t>
      </w:r>
      <w:r>
        <w:rPr>
          <w:color w:val="1F3863"/>
        </w:rPr>
        <w:t>reflection</w:t>
      </w:r>
      <w:r>
        <w:rPr>
          <w:color w:val="1F3863"/>
          <w:spacing w:val="-4"/>
        </w:rPr>
        <w:t> </w:t>
      </w:r>
      <w:r>
        <w:rPr>
          <w:color w:val="1F3863"/>
        </w:rPr>
        <w:t>of</w:t>
      </w:r>
      <w:r>
        <w:rPr>
          <w:color w:val="1F3863"/>
          <w:spacing w:val="-5"/>
        </w:rPr>
        <w:t> </w:t>
      </w:r>
      <w:r>
        <w:rPr>
          <w:color w:val="1F3863"/>
        </w:rPr>
        <w:t>colonial vestige.</w:t>
      </w:r>
    </w:p>
    <w:p>
      <w:pPr>
        <w:pStyle w:val="BodyText"/>
        <w:spacing w:line="259" w:lineRule="auto" w:before="159"/>
        <w:ind w:left="170"/>
        <w:jc w:val="both"/>
      </w:pPr>
      <w:r>
        <w:rPr>
          <w:color w:val="1F3863"/>
        </w:rPr>
        <w:t>Almost one and a half decade ago, the Committee on Reforms of the Criminal Justice System, better known as the Justice Malimath Committee submitted its detail report specifying</w:t>
      </w:r>
      <w:r>
        <w:rPr>
          <w:color w:val="1F3863"/>
          <w:spacing w:val="-4"/>
        </w:rPr>
        <w:t> </w:t>
      </w:r>
      <w:r>
        <w:rPr>
          <w:color w:val="1F3863"/>
        </w:rPr>
        <w:t>the</w:t>
      </w:r>
      <w:r>
        <w:rPr>
          <w:color w:val="1F3863"/>
          <w:spacing w:val="-4"/>
        </w:rPr>
        <w:t> </w:t>
      </w:r>
      <w:r>
        <w:rPr>
          <w:color w:val="1F3863"/>
        </w:rPr>
        <w:t>kinds</w:t>
      </w:r>
      <w:r>
        <w:rPr>
          <w:color w:val="1F3863"/>
          <w:spacing w:val="-4"/>
        </w:rPr>
        <w:t> </w:t>
      </w:r>
      <w:r>
        <w:rPr>
          <w:color w:val="1F3863"/>
        </w:rPr>
        <w:t>of</w:t>
      </w:r>
      <w:r>
        <w:rPr>
          <w:color w:val="1F3863"/>
          <w:spacing w:val="-4"/>
        </w:rPr>
        <w:t> </w:t>
      </w:r>
      <w:r>
        <w:rPr>
          <w:color w:val="1F3863"/>
        </w:rPr>
        <w:t>reform</w:t>
      </w:r>
      <w:r>
        <w:rPr>
          <w:color w:val="1F3863"/>
          <w:spacing w:val="-7"/>
        </w:rPr>
        <w:t> </w:t>
      </w:r>
      <w:r>
        <w:rPr>
          <w:color w:val="1F3863"/>
        </w:rPr>
        <w:t>we</w:t>
      </w:r>
      <w:r>
        <w:rPr>
          <w:color w:val="1F3863"/>
          <w:spacing w:val="-8"/>
        </w:rPr>
        <w:t> </w:t>
      </w:r>
      <w:r>
        <w:rPr>
          <w:color w:val="1F3863"/>
        </w:rPr>
        <w:t>must</w:t>
      </w:r>
      <w:r>
        <w:rPr>
          <w:color w:val="1F3863"/>
          <w:spacing w:val="-1"/>
        </w:rPr>
        <w:t> </w:t>
      </w:r>
      <w:r>
        <w:rPr>
          <w:color w:val="1F3863"/>
        </w:rPr>
        <w:t>introduce</w:t>
      </w:r>
      <w:r>
        <w:rPr>
          <w:color w:val="1F3863"/>
          <w:spacing w:val="-7"/>
        </w:rPr>
        <w:t> </w:t>
      </w:r>
      <w:r>
        <w:rPr>
          <w:color w:val="1F3863"/>
        </w:rPr>
        <w:t>for</w:t>
      </w:r>
      <w:r>
        <w:rPr>
          <w:color w:val="1F3863"/>
          <w:spacing w:val="-2"/>
        </w:rPr>
        <w:t> </w:t>
      </w:r>
      <w:r>
        <w:rPr>
          <w:color w:val="1F3863"/>
        </w:rPr>
        <w:t>healthy</w:t>
      </w:r>
      <w:r>
        <w:rPr>
          <w:color w:val="1F3863"/>
          <w:spacing w:val="-4"/>
        </w:rPr>
        <w:t> </w:t>
      </w:r>
      <w:r>
        <w:rPr>
          <w:color w:val="1F3863"/>
        </w:rPr>
        <w:t>CJS.</w:t>
      </w:r>
      <w:r>
        <w:rPr>
          <w:color w:val="1F3863"/>
          <w:spacing w:val="-5"/>
        </w:rPr>
        <w:t> </w:t>
      </w:r>
      <w:r>
        <w:rPr>
          <w:color w:val="1F3863"/>
        </w:rPr>
        <w:t>The</w:t>
      </w:r>
      <w:r>
        <w:rPr>
          <w:color w:val="1F3863"/>
          <w:spacing w:val="-8"/>
        </w:rPr>
        <w:t> </w:t>
      </w:r>
      <w:r>
        <w:rPr>
          <w:color w:val="1F3863"/>
        </w:rPr>
        <w:t>recommendations of</w:t>
      </w:r>
      <w:r>
        <w:rPr>
          <w:color w:val="1F3863"/>
          <w:spacing w:val="-3"/>
        </w:rPr>
        <w:t> </w:t>
      </w:r>
      <w:r>
        <w:rPr>
          <w:color w:val="1F3863"/>
        </w:rPr>
        <w:t>the</w:t>
      </w:r>
      <w:r>
        <w:rPr>
          <w:color w:val="1F3863"/>
          <w:spacing w:val="-3"/>
        </w:rPr>
        <w:t> </w:t>
      </w:r>
      <w:r>
        <w:rPr>
          <w:color w:val="1F3863"/>
        </w:rPr>
        <w:t>Committee</w:t>
      </w:r>
      <w:r>
        <w:rPr>
          <w:color w:val="1F3863"/>
          <w:spacing w:val="-3"/>
        </w:rPr>
        <w:t> </w:t>
      </w:r>
      <w:r>
        <w:rPr>
          <w:color w:val="1F3863"/>
        </w:rPr>
        <w:t>are</w:t>
      </w:r>
      <w:r>
        <w:rPr>
          <w:color w:val="1F3863"/>
          <w:spacing w:val="-1"/>
        </w:rPr>
        <w:t> </w:t>
      </w:r>
      <w:r>
        <w:rPr>
          <w:color w:val="1F3863"/>
        </w:rPr>
        <w:t>considered</w:t>
      </w:r>
      <w:r>
        <w:rPr>
          <w:color w:val="1F3863"/>
          <w:spacing w:val="-2"/>
        </w:rPr>
        <w:t> </w:t>
      </w:r>
      <w:r>
        <w:rPr>
          <w:color w:val="1F3863"/>
        </w:rPr>
        <w:t>as</w:t>
      </w:r>
      <w:r>
        <w:rPr>
          <w:color w:val="1F3863"/>
          <w:spacing w:val="-4"/>
        </w:rPr>
        <w:t> </w:t>
      </w:r>
      <w:r>
        <w:rPr>
          <w:color w:val="1F3863"/>
        </w:rPr>
        <w:t>the</w:t>
      </w:r>
      <w:r>
        <w:rPr>
          <w:color w:val="1F3863"/>
          <w:spacing w:val="-8"/>
        </w:rPr>
        <w:t> </w:t>
      </w:r>
      <w:r>
        <w:rPr>
          <w:color w:val="1F3863"/>
        </w:rPr>
        <w:t>most</w:t>
      </w:r>
      <w:r>
        <w:rPr>
          <w:color w:val="1F3863"/>
          <w:spacing w:val="-4"/>
        </w:rPr>
        <w:t> </w:t>
      </w:r>
      <w:r>
        <w:rPr>
          <w:color w:val="1F3863"/>
        </w:rPr>
        <w:t>exhaustive</w:t>
      </w:r>
      <w:r>
        <w:rPr>
          <w:color w:val="1F3863"/>
          <w:spacing w:val="-2"/>
        </w:rPr>
        <w:t> </w:t>
      </w:r>
      <w:r>
        <w:rPr>
          <w:color w:val="1F3863"/>
        </w:rPr>
        <w:t>work</w:t>
      </w:r>
      <w:r>
        <w:rPr>
          <w:color w:val="1F3863"/>
          <w:spacing w:val="-5"/>
        </w:rPr>
        <w:t> </w:t>
      </w:r>
      <w:r>
        <w:rPr>
          <w:color w:val="1F3863"/>
        </w:rPr>
        <w:t>to</w:t>
      </w:r>
      <w:r>
        <w:rPr>
          <w:color w:val="1F3863"/>
          <w:spacing w:val="-4"/>
        </w:rPr>
        <w:t> </w:t>
      </w:r>
      <w:r>
        <w:rPr>
          <w:color w:val="1F3863"/>
        </w:rPr>
        <w:t>review</w:t>
      </w:r>
      <w:r>
        <w:rPr>
          <w:color w:val="1F3863"/>
          <w:spacing w:val="-2"/>
        </w:rPr>
        <w:t> </w:t>
      </w:r>
      <w:r>
        <w:rPr>
          <w:color w:val="1F3863"/>
        </w:rPr>
        <w:t>the</w:t>
      </w:r>
      <w:r>
        <w:rPr>
          <w:color w:val="1F3863"/>
          <w:spacing w:val="-3"/>
        </w:rPr>
        <w:t> </w:t>
      </w:r>
      <w:r>
        <w:rPr>
          <w:color w:val="1F3863"/>
        </w:rPr>
        <w:t>state</w:t>
      </w:r>
      <w:r>
        <w:rPr>
          <w:color w:val="1F3863"/>
          <w:spacing w:val="-3"/>
        </w:rPr>
        <w:t> </w:t>
      </w:r>
      <w:r>
        <w:rPr>
          <w:color w:val="1F3863"/>
        </w:rPr>
        <w:t>of</w:t>
      </w:r>
      <w:r>
        <w:rPr>
          <w:color w:val="1F3863"/>
          <w:spacing w:val="-3"/>
        </w:rPr>
        <w:t> </w:t>
      </w:r>
      <w:r>
        <w:rPr>
          <w:color w:val="1F3863"/>
        </w:rPr>
        <w:t>CJS in India. While report was highly appreciated for its extensive work on CJS and broad based</w:t>
      </w:r>
      <w:r>
        <w:rPr>
          <w:color w:val="1F3863"/>
          <w:spacing w:val="-10"/>
        </w:rPr>
        <w:t> </w:t>
      </w:r>
      <w:r>
        <w:rPr>
          <w:color w:val="1F3863"/>
        </w:rPr>
        <w:t>suggestions,</w:t>
      </w:r>
      <w:r>
        <w:rPr>
          <w:color w:val="1F3863"/>
          <w:spacing w:val="-11"/>
        </w:rPr>
        <w:t> </w:t>
      </w:r>
      <w:r>
        <w:rPr>
          <w:color w:val="1F3863"/>
        </w:rPr>
        <w:t>there</w:t>
      </w:r>
      <w:r>
        <w:rPr>
          <w:color w:val="1F3863"/>
          <w:spacing w:val="-10"/>
        </w:rPr>
        <w:t> </w:t>
      </w:r>
      <w:r>
        <w:rPr>
          <w:color w:val="1F3863"/>
        </w:rPr>
        <w:t>were</w:t>
      </w:r>
      <w:r>
        <w:rPr>
          <w:color w:val="1F3863"/>
          <w:spacing w:val="-7"/>
        </w:rPr>
        <w:t> </w:t>
      </w:r>
      <w:r>
        <w:rPr>
          <w:color w:val="1F3863"/>
        </w:rPr>
        <w:t>also</w:t>
      </w:r>
      <w:r>
        <w:rPr>
          <w:color w:val="1F3863"/>
          <w:spacing w:val="-9"/>
        </w:rPr>
        <w:t> </w:t>
      </w:r>
      <w:r>
        <w:rPr>
          <w:color w:val="1F3863"/>
        </w:rPr>
        <w:t>criticism</w:t>
      </w:r>
      <w:r>
        <w:rPr>
          <w:color w:val="1F3863"/>
          <w:spacing w:val="-10"/>
        </w:rPr>
        <w:t> </w:t>
      </w:r>
      <w:r>
        <w:rPr>
          <w:color w:val="1F3863"/>
        </w:rPr>
        <w:t>mainly</w:t>
      </w:r>
      <w:r>
        <w:rPr>
          <w:color w:val="1F3863"/>
          <w:spacing w:val="-12"/>
        </w:rPr>
        <w:t> </w:t>
      </w:r>
      <w:r>
        <w:rPr>
          <w:color w:val="1F3863"/>
        </w:rPr>
        <w:t>on</w:t>
      </w:r>
      <w:r>
        <w:rPr>
          <w:color w:val="1F3863"/>
          <w:spacing w:val="-9"/>
        </w:rPr>
        <w:t> </w:t>
      </w:r>
      <w:r>
        <w:rPr>
          <w:color w:val="1F3863"/>
        </w:rPr>
        <w:t>account</w:t>
      </w:r>
      <w:r>
        <w:rPr>
          <w:color w:val="1F3863"/>
          <w:spacing w:val="-10"/>
        </w:rPr>
        <w:t> </w:t>
      </w:r>
      <w:r>
        <w:rPr>
          <w:color w:val="1F3863"/>
        </w:rPr>
        <w:t>of</w:t>
      </w:r>
      <w:r>
        <w:rPr>
          <w:color w:val="1F3863"/>
          <w:spacing w:val="-10"/>
        </w:rPr>
        <w:t> </w:t>
      </w:r>
      <w:r>
        <w:rPr>
          <w:color w:val="1F3863"/>
        </w:rPr>
        <w:t>undermining</w:t>
      </w:r>
      <w:r>
        <w:rPr>
          <w:color w:val="1F3863"/>
          <w:spacing w:val="-10"/>
        </w:rPr>
        <w:t> </w:t>
      </w:r>
      <w:r>
        <w:rPr>
          <w:color w:val="1F3863"/>
        </w:rPr>
        <w:t>the</w:t>
      </w:r>
      <w:r>
        <w:rPr>
          <w:color w:val="1F3863"/>
          <w:spacing w:val="-9"/>
        </w:rPr>
        <w:t> </w:t>
      </w:r>
      <w:r>
        <w:rPr>
          <w:color w:val="1F3863"/>
        </w:rPr>
        <w:t>rights of the accused in certain specific</w:t>
      </w:r>
      <w:r>
        <w:rPr>
          <w:color w:val="1F3863"/>
          <w:spacing w:val="-5"/>
        </w:rPr>
        <w:t> </w:t>
      </w:r>
      <w:r>
        <w:rPr>
          <w:color w:val="1F3863"/>
        </w:rPr>
        <w:t>circumstances.</w:t>
      </w:r>
    </w:p>
    <w:p>
      <w:pPr>
        <w:pStyle w:val="BodyText"/>
        <w:spacing w:line="259" w:lineRule="auto" w:before="159"/>
        <w:ind w:left="170" w:right="3" w:firstLine="40"/>
        <w:jc w:val="both"/>
      </w:pPr>
      <w:r>
        <w:rPr>
          <w:color w:val="1F3863"/>
        </w:rPr>
        <w:t>Series</w:t>
      </w:r>
      <w:r>
        <w:rPr>
          <w:color w:val="1F3863"/>
          <w:spacing w:val="-8"/>
        </w:rPr>
        <w:t> </w:t>
      </w:r>
      <w:r>
        <w:rPr>
          <w:color w:val="1F3863"/>
        </w:rPr>
        <w:t>of</w:t>
      </w:r>
      <w:r>
        <w:rPr>
          <w:color w:val="1F3863"/>
          <w:spacing w:val="-7"/>
        </w:rPr>
        <w:t> </w:t>
      </w:r>
      <w:r>
        <w:rPr>
          <w:color w:val="1F3863"/>
        </w:rPr>
        <w:t>legislative</w:t>
      </w:r>
      <w:r>
        <w:rPr>
          <w:color w:val="1F3863"/>
          <w:spacing w:val="-8"/>
        </w:rPr>
        <w:t> </w:t>
      </w:r>
      <w:r>
        <w:rPr>
          <w:color w:val="1F3863"/>
        </w:rPr>
        <w:t>and</w:t>
      </w:r>
      <w:r>
        <w:rPr>
          <w:color w:val="1F3863"/>
          <w:spacing w:val="-6"/>
        </w:rPr>
        <w:t> </w:t>
      </w:r>
      <w:r>
        <w:rPr>
          <w:color w:val="1F3863"/>
        </w:rPr>
        <w:t>other</w:t>
      </w:r>
      <w:r>
        <w:rPr>
          <w:color w:val="1F3863"/>
          <w:spacing w:val="-6"/>
        </w:rPr>
        <w:t> </w:t>
      </w:r>
      <w:r>
        <w:rPr>
          <w:color w:val="1F3863"/>
        </w:rPr>
        <w:t>reforms</w:t>
      </w:r>
      <w:r>
        <w:rPr>
          <w:color w:val="1F3863"/>
          <w:spacing w:val="-9"/>
        </w:rPr>
        <w:t> </w:t>
      </w:r>
      <w:r>
        <w:rPr>
          <w:color w:val="1F3863"/>
        </w:rPr>
        <w:t>are</w:t>
      </w:r>
      <w:r>
        <w:rPr>
          <w:color w:val="1F3863"/>
          <w:spacing w:val="-7"/>
        </w:rPr>
        <w:t> </w:t>
      </w:r>
      <w:r>
        <w:rPr>
          <w:color w:val="1F3863"/>
        </w:rPr>
        <w:t>brought</w:t>
      </w:r>
      <w:r>
        <w:rPr>
          <w:color w:val="1F3863"/>
          <w:spacing w:val="-6"/>
        </w:rPr>
        <w:t> </w:t>
      </w:r>
      <w:r>
        <w:rPr>
          <w:color w:val="1F3863"/>
        </w:rPr>
        <w:t>within</w:t>
      </w:r>
      <w:r>
        <w:rPr>
          <w:color w:val="1F3863"/>
          <w:spacing w:val="-7"/>
        </w:rPr>
        <w:t> </w:t>
      </w:r>
      <w:r>
        <w:rPr>
          <w:color w:val="1F3863"/>
        </w:rPr>
        <w:t>CJS</w:t>
      </w:r>
      <w:r>
        <w:rPr>
          <w:color w:val="1F3863"/>
          <w:spacing w:val="-6"/>
        </w:rPr>
        <w:t> </w:t>
      </w:r>
      <w:r>
        <w:rPr>
          <w:color w:val="1F3863"/>
        </w:rPr>
        <w:t>post</w:t>
      </w:r>
      <w:r>
        <w:rPr>
          <w:color w:val="1F3863"/>
          <w:spacing w:val="-3"/>
        </w:rPr>
        <w:t> </w:t>
      </w:r>
      <w:r>
        <w:rPr>
          <w:color w:val="1F3863"/>
        </w:rPr>
        <w:t>Malimath</w:t>
      </w:r>
      <w:r>
        <w:rPr>
          <w:color w:val="1F3863"/>
          <w:spacing w:val="-8"/>
        </w:rPr>
        <w:t> </w:t>
      </w:r>
      <w:r>
        <w:rPr>
          <w:color w:val="1F3863"/>
        </w:rPr>
        <w:t>Committee recommendations.</w:t>
      </w:r>
      <w:r>
        <w:rPr>
          <w:color w:val="1F3863"/>
          <w:spacing w:val="-4"/>
        </w:rPr>
        <w:t> </w:t>
      </w:r>
      <w:r>
        <w:rPr>
          <w:color w:val="1F3863"/>
        </w:rPr>
        <w:t>It</w:t>
      </w:r>
      <w:r>
        <w:rPr>
          <w:color w:val="1F3863"/>
          <w:spacing w:val="-4"/>
        </w:rPr>
        <w:t> </w:t>
      </w:r>
      <w:r>
        <w:rPr>
          <w:color w:val="1F3863"/>
        </w:rPr>
        <w:t>is</w:t>
      </w:r>
      <w:r>
        <w:rPr>
          <w:color w:val="1F3863"/>
          <w:spacing w:val="-4"/>
        </w:rPr>
        <w:t> </w:t>
      </w:r>
      <w:r>
        <w:rPr>
          <w:color w:val="1F3863"/>
        </w:rPr>
        <w:t>difficult</w:t>
      </w:r>
      <w:r>
        <w:rPr>
          <w:color w:val="1F3863"/>
          <w:spacing w:val="-3"/>
        </w:rPr>
        <w:t> </w:t>
      </w:r>
      <w:r>
        <w:rPr>
          <w:color w:val="1F3863"/>
        </w:rPr>
        <w:t>to answer</w:t>
      </w:r>
      <w:r>
        <w:rPr>
          <w:color w:val="1F3863"/>
          <w:spacing w:val="-1"/>
        </w:rPr>
        <w:t> </w:t>
      </w:r>
      <w:r>
        <w:rPr>
          <w:color w:val="1F3863"/>
        </w:rPr>
        <w:t>how</w:t>
      </w:r>
      <w:r>
        <w:rPr>
          <w:color w:val="1F3863"/>
          <w:spacing w:val="-2"/>
        </w:rPr>
        <w:t> </w:t>
      </w:r>
      <w:r>
        <w:rPr>
          <w:color w:val="1F3863"/>
        </w:rPr>
        <w:t>much</w:t>
      </w:r>
      <w:r>
        <w:rPr>
          <w:color w:val="1F3863"/>
          <w:spacing w:val="-4"/>
        </w:rPr>
        <w:t> </w:t>
      </w:r>
      <w:r>
        <w:rPr>
          <w:color w:val="1F3863"/>
        </w:rPr>
        <w:t>we</w:t>
      </w:r>
      <w:r>
        <w:rPr>
          <w:color w:val="1F3863"/>
          <w:spacing w:val="-2"/>
        </w:rPr>
        <w:t> </w:t>
      </w:r>
      <w:r>
        <w:rPr>
          <w:color w:val="1F3863"/>
        </w:rPr>
        <w:t>have</w:t>
      </w:r>
      <w:r>
        <w:rPr>
          <w:color w:val="1F3863"/>
          <w:spacing w:val="-2"/>
        </w:rPr>
        <w:t> </w:t>
      </w:r>
      <w:r>
        <w:rPr>
          <w:color w:val="1F3863"/>
        </w:rPr>
        <w:t>been</w:t>
      </w:r>
      <w:r>
        <w:rPr>
          <w:color w:val="1F3863"/>
          <w:spacing w:val="-3"/>
        </w:rPr>
        <w:t> </w:t>
      </w:r>
      <w:r>
        <w:rPr>
          <w:color w:val="1F3863"/>
        </w:rPr>
        <w:t>able</w:t>
      </w:r>
      <w:r>
        <w:rPr>
          <w:color w:val="1F3863"/>
          <w:spacing w:val="-2"/>
        </w:rPr>
        <w:t> </w:t>
      </w:r>
      <w:r>
        <w:rPr>
          <w:color w:val="1F3863"/>
        </w:rPr>
        <w:t>to</w:t>
      </w:r>
      <w:r>
        <w:rPr>
          <w:color w:val="1F3863"/>
          <w:spacing w:val="-3"/>
        </w:rPr>
        <w:t> </w:t>
      </w:r>
      <w:r>
        <w:rPr>
          <w:color w:val="1F3863"/>
        </w:rPr>
        <w:t>achieve.</w:t>
      </w:r>
      <w:r>
        <w:rPr>
          <w:color w:val="1F3863"/>
          <w:spacing w:val="-4"/>
        </w:rPr>
        <w:t> </w:t>
      </w:r>
      <w:r>
        <w:rPr>
          <w:color w:val="1F3863"/>
        </w:rPr>
        <w:t>The time is ripe to revisit the Malimath Committee report and to re-think the conceptual foundations of the criminal justice system, its institutions and the underlying</w:t>
      </w:r>
      <w:r>
        <w:rPr>
          <w:color w:val="1F3863"/>
          <w:spacing w:val="-17"/>
        </w:rPr>
        <w:t> </w:t>
      </w:r>
      <w:r>
        <w:rPr>
          <w:color w:val="1F3863"/>
        </w:rPr>
        <w:t>principles.</w:t>
      </w:r>
    </w:p>
    <w:p>
      <w:pPr>
        <w:pStyle w:val="BodyText"/>
        <w:spacing w:line="259" w:lineRule="auto" w:before="156"/>
        <w:ind w:left="170" w:right="11"/>
        <w:jc w:val="both"/>
      </w:pPr>
      <w:r>
        <w:rPr>
          <w:color w:val="1F3863"/>
        </w:rPr>
        <w:t>The aim of the conference is to evaluate how much we have moved ahead in the direction of reforms since the Malimath Committee recommendation and what other reforms can be brought to improve the CJS in future.</w:t>
      </w:r>
    </w:p>
    <w:p>
      <w:pPr>
        <w:pStyle w:val="BodyText"/>
        <w:rPr>
          <w:sz w:val="22"/>
        </w:rPr>
      </w:pPr>
    </w:p>
    <w:p>
      <w:pPr>
        <w:pStyle w:val="BodyText"/>
        <w:rPr>
          <w:sz w:val="22"/>
        </w:rPr>
      </w:pPr>
    </w:p>
    <w:p>
      <w:pPr>
        <w:pStyle w:val="BodyText"/>
        <w:spacing w:before="2"/>
        <w:rPr>
          <w:sz w:val="32"/>
        </w:rPr>
      </w:pPr>
    </w:p>
    <w:p>
      <w:pPr>
        <w:pStyle w:val="Heading3"/>
        <w:spacing w:before="0"/>
        <w:ind w:left="668" w:right="1368"/>
        <w:jc w:val="center"/>
      </w:pPr>
      <w:r>
        <w:rPr>
          <w:color w:val="833B0A"/>
        </w:rPr>
        <w:t>Patron</w:t>
      </w:r>
    </w:p>
    <w:p>
      <w:pPr>
        <w:spacing w:before="161"/>
        <w:ind w:left="672" w:right="1368" w:firstLine="0"/>
        <w:jc w:val="center"/>
        <w:rPr>
          <w:sz w:val="20"/>
        </w:rPr>
      </w:pPr>
      <w:r>
        <w:rPr>
          <w:color w:val="833B0A"/>
          <w:sz w:val="20"/>
        </w:rPr>
        <w:t>Prof. (Dr.) Dilip Ukey, Hon’ble Vice Chancellor, MNLU M</w:t>
      </w:r>
    </w:p>
    <w:p>
      <w:pPr>
        <w:spacing w:before="161"/>
        <w:ind w:left="667" w:right="1368" w:firstLine="0"/>
        <w:jc w:val="center"/>
        <w:rPr>
          <w:b/>
          <w:sz w:val="20"/>
        </w:rPr>
      </w:pPr>
      <w:r>
        <w:rPr>
          <w:b/>
          <w:color w:val="833B0A"/>
          <w:sz w:val="20"/>
        </w:rPr>
        <w:t>Advisor</w:t>
      </w:r>
    </w:p>
    <w:p>
      <w:pPr>
        <w:spacing w:before="161"/>
        <w:ind w:left="667" w:right="1368" w:firstLine="0"/>
        <w:jc w:val="center"/>
        <w:rPr>
          <w:sz w:val="20"/>
        </w:rPr>
      </w:pPr>
      <w:r>
        <w:rPr>
          <w:color w:val="833B0A"/>
          <w:sz w:val="20"/>
        </w:rPr>
        <w:t>Prof. (Dr.) RK Sinha, Director, CRCJ, MNLU M</w:t>
      </w:r>
    </w:p>
    <w:p>
      <w:pPr>
        <w:spacing w:before="161"/>
        <w:ind w:left="663" w:right="1368" w:firstLine="0"/>
        <w:jc w:val="center"/>
        <w:rPr>
          <w:b/>
          <w:sz w:val="20"/>
        </w:rPr>
      </w:pPr>
      <w:r>
        <w:rPr>
          <w:b/>
          <w:color w:val="833B0A"/>
          <w:sz w:val="20"/>
        </w:rPr>
        <w:t>Convener(s)</w:t>
      </w:r>
    </w:p>
    <w:p>
      <w:pPr>
        <w:spacing w:line="393" w:lineRule="auto" w:before="161"/>
        <w:ind w:left="662" w:right="1368" w:firstLine="0"/>
        <w:jc w:val="center"/>
        <w:rPr>
          <w:sz w:val="20"/>
        </w:rPr>
      </w:pPr>
      <w:r>
        <w:rPr>
          <w:color w:val="833B0A"/>
          <w:sz w:val="20"/>
        </w:rPr>
        <w:t>Dr. Sarfaraz Ahmed Khan, Associate Professor, MNLU M Chirag Balyan, Assistant Professor, MNLU M</w:t>
      </w:r>
    </w:p>
    <w:p>
      <w:pPr>
        <w:spacing w:before="4"/>
        <w:ind w:left="668" w:right="1368" w:firstLine="0"/>
        <w:jc w:val="center"/>
        <w:rPr>
          <w:b/>
          <w:sz w:val="20"/>
        </w:rPr>
      </w:pPr>
      <w:r>
        <w:rPr>
          <w:b/>
          <w:color w:val="833B0A"/>
          <w:sz w:val="20"/>
        </w:rPr>
        <w:t>Co-Convener(s)</w:t>
      </w:r>
    </w:p>
    <w:p>
      <w:pPr>
        <w:spacing w:line="417" w:lineRule="auto" w:before="181"/>
        <w:ind w:left="870" w:right="1576" w:firstLine="0"/>
        <w:jc w:val="center"/>
        <w:rPr>
          <w:sz w:val="20"/>
        </w:rPr>
      </w:pPr>
      <w:r>
        <w:rPr>
          <w:color w:val="833B0A"/>
          <w:sz w:val="20"/>
        </w:rPr>
        <w:t>Dr. Nilamber Chhetri, Assistant Professor, MNLU M Sajid Sheikh, Assistant Professor, MNLU M</w:t>
      </w:r>
    </w:p>
    <w:p>
      <w:pPr>
        <w:pStyle w:val="BodyText"/>
        <w:rPr>
          <w:sz w:val="27"/>
        </w:rPr>
      </w:pPr>
      <w:r>
        <w:rPr/>
        <w:br w:type="column"/>
      </w:r>
      <w:r>
        <w:rPr>
          <w:sz w:val="27"/>
        </w:rPr>
      </w:r>
    </w:p>
    <w:p>
      <w:pPr>
        <w:spacing w:before="0"/>
        <w:ind w:left="1040" w:right="0" w:firstLine="0"/>
        <w:jc w:val="left"/>
        <w:rPr>
          <w:b/>
          <w:sz w:val="20"/>
        </w:rPr>
      </w:pPr>
      <w:r>
        <w:rPr>
          <w:b/>
          <w:sz w:val="20"/>
        </w:rPr>
        <w:t>Broad Themes of the Conference</w:t>
      </w:r>
    </w:p>
    <w:p>
      <w:pPr>
        <w:pStyle w:val="ListParagraph"/>
        <w:numPr>
          <w:ilvl w:val="0"/>
          <w:numId w:val="1"/>
        </w:numPr>
        <w:tabs>
          <w:tab w:pos="1186" w:val="left" w:leader="none"/>
          <w:tab w:pos="1865" w:val="left" w:leader="none"/>
          <w:tab w:pos="2276" w:val="left" w:leader="none"/>
          <w:tab w:pos="3170" w:val="left" w:leader="none"/>
          <w:tab w:pos="3890" w:val="left" w:leader="none"/>
        </w:tabs>
        <w:spacing w:line="360" w:lineRule="auto" w:before="181" w:after="0"/>
        <w:ind w:left="1185" w:right="115" w:hanging="240"/>
        <w:jc w:val="left"/>
        <w:rPr>
          <w:sz w:val="20"/>
        </w:rPr>
      </w:pPr>
      <w:r>
        <w:rPr>
          <w:sz w:val="20"/>
        </w:rPr>
        <w:t>Need</w:t>
        <w:tab/>
        <w:t>of</w:t>
        <w:tab/>
        <w:t>uniform</w:t>
        <w:tab/>
        <w:t>policy</w:t>
        <w:tab/>
      </w:r>
      <w:r>
        <w:rPr>
          <w:spacing w:val="-7"/>
          <w:sz w:val="20"/>
        </w:rPr>
        <w:t>for </w:t>
      </w:r>
      <w:r>
        <w:rPr>
          <w:sz w:val="20"/>
        </w:rPr>
        <w:t>application of Criminal</w:t>
      </w:r>
      <w:r>
        <w:rPr>
          <w:spacing w:val="-6"/>
          <w:sz w:val="20"/>
        </w:rPr>
        <w:t> </w:t>
      </w:r>
      <w:r>
        <w:rPr>
          <w:sz w:val="20"/>
        </w:rPr>
        <w:t>Law</w:t>
      </w:r>
    </w:p>
    <w:p>
      <w:pPr>
        <w:pStyle w:val="ListParagraph"/>
        <w:numPr>
          <w:ilvl w:val="0"/>
          <w:numId w:val="1"/>
        </w:numPr>
        <w:tabs>
          <w:tab w:pos="1186" w:val="left" w:leader="none"/>
          <w:tab w:pos="2459" w:val="left" w:leader="none"/>
          <w:tab w:pos="3084" w:val="left" w:leader="none"/>
        </w:tabs>
        <w:spacing w:line="360" w:lineRule="auto" w:before="0" w:after="0"/>
        <w:ind w:left="1185" w:right="115" w:hanging="285"/>
        <w:jc w:val="left"/>
        <w:rPr>
          <w:sz w:val="20"/>
        </w:rPr>
      </w:pPr>
      <w:r>
        <w:rPr>
          <w:sz w:val="20"/>
        </w:rPr>
        <w:t>Re-thinking</w:t>
        <w:tab/>
        <w:t>the</w:t>
        <w:tab/>
      </w:r>
      <w:r>
        <w:rPr>
          <w:spacing w:val="-3"/>
          <w:sz w:val="20"/>
        </w:rPr>
        <w:t>fundamental </w:t>
      </w:r>
      <w:r>
        <w:rPr>
          <w:sz w:val="20"/>
        </w:rPr>
        <w:t>principles of</w:t>
      </w:r>
      <w:r>
        <w:rPr>
          <w:spacing w:val="-1"/>
          <w:sz w:val="20"/>
        </w:rPr>
        <w:t> </w:t>
      </w:r>
      <w:r>
        <w:rPr>
          <w:sz w:val="20"/>
        </w:rPr>
        <w:t>CJS</w:t>
      </w:r>
    </w:p>
    <w:p>
      <w:pPr>
        <w:pStyle w:val="ListParagraph"/>
        <w:numPr>
          <w:ilvl w:val="0"/>
          <w:numId w:val="1"/>
        </w:numPr>
        <w:tabs>
          <w:tab w:pos="1186" w:val="left" w:leader="none"/>
        </w:tabs>
        <w:spacing w:line="360" w:lineRule="auto" w:before="1" w:after="0"/>
        <w:ind w:left="1185" w:right="115" w:hanging="330"/>
        <w:jc w:val="left"/>
        <w:rPr>
          <w:sz w:val="20"/>
        </w:rPr>
      </w:pPr>
      <w:r>
        <w:rPr>
          <w:sz w:val="20"/>
        </w:rPr>
        <w:t>Reforms in Police Investigation &amp; Prosecution</w:t>
      </w:r>
    </w:p>
    <w:p>
      <w:pPr>
        <w:pStyle w:val="ListParagraph"/>
        <w:numPr>
          <w:ilvl w:val="0"/>
          <w:numId w:val="1"/>
        </w:numPr>
        <w:tabs>
          <w:tab w:pos="1186" w:val="left" w:leader="none"/>
        </w:tabs>
        <w:spacing w:line="360" w:lineRule="auto" w:before="0" w:after="0"/>
        <w:ind w:left="1185" w:right="107" w:hanging="330"/>
        <w:jc w:val="left"/>
        <w:rPr>
          <w:sz w:val="20"/>
        </w:rPr>
      </w:pPr>
      <w:r>
        <w:rPr>
          <w:sz w:val="20"/>
        </w:rPr>
        <w:t>Reforms</w:t>
      </w:r>
      <w:r>
        <w:rPr>
          <w:spacing w:val="-11"/>
          <w:sz w:val="20"/>
        </w:rPr>
        <w:t> </w:t>
      </w:r>
      <w:r>
        <w:rPr>
          <w:sz w:val="20"/>
        </w:rPr>
        <w:t>in</w:t>
      </w:r>
      <w:r>
        <w:rPr>
          <w:spacing w:val="-13"/>
          <w:sz w:val="20"/>
        </w:rPr>
        <w:t> </w:t>
      </w:r>
      <w:r>
        <w:rPr>
          <w:sz w:val="20"/>
        </w:rPr>
        <w:t>Judiciary,</w:t>
      </w:r>
      <w:r>
        <w:rPr>
          <w:spacing w:val="-13"/>
          <w:sz w:val="20"/>
        </w:rPr>
        <w:t> </w:t>
      </w:r>
      <w:r>
        <w:rPr>
          <w:sz w:val="20"/>
        </w:rPr>
        <w:t>Judicial</w:t>
      </w:r>
      <w:r>
        <w:rPr>
          <w:spacing w:val="-9"/>
          <w:sz w:val="20"/>
        </w:rPr>
        <w:t> </w:t>
      </w:r>
      <w:r>
        <w:rPr>
          <w:sz w:val="20"/>
        </w:rPr>
        <w:t>Process &amp; Trial Procedure for efficient</w:t>
      </w:r>
      <w:r>
        <w:rPr>
          <w:spacing w:val="-10"/>
          <w:sz w:val="20"/>
        </w:rPr>
        <w:t> </w:t>
      </w:r>
      <w:r>
        <w:rPr>
          <w:sz w:val="20"/>
        </w:rPr>
        <w:t>CJS</w:t>
      </w:r>
    </w:p>
    <w:p>
      <w:pPr>
        <w:pStyle w:val="ListParagraph"/>
        <w:numPr>
          <w:ilvl w:val="0"/>
          <w:numId w:val="1"/>
        </w:numPr>
        <w:tabs>
          <w:tab w:pos="1186" w:val="left" w:leader="none"/>
        </w:tabs>
        <w:spacing w:line="240" w:lineRule="auto" w:before="0" w:after="0"/>
        <w:ind w:left="1185" w:right="0" w:hanging="286"/>
        <w:jc w:val="left"/>
        <w:rPr>
          <w:sz w:val="20"/>
        </w:rPr>
      </w:pPr>
      <w:r>
        <w:rPr>
          <w:sz w:val="20"/>
        </w:rPr>
        <w:t>Crime and</w:t>
      </w:r>
      <w:r>
        <w:rPr>
          <w:spacing w:val="-2"/>
          <w:sz w:val="20"/>
        </w:rPr>
        <w:t> </w:t>
      </w:r>
      <w:r>
        <w:rPr>
          <w:sz w:val="20"/>
        </w:rPr>
        <w:t>Punishment</w:t>
      </w:r>
    </w:p>
    <w:p>
      <w:pPr>
        <w:pStyle w:val="BodyText"/>
        <w:spacing w:before="9"/>
        <w:rPr>
          <w:sz w:val="22"/>
        </w:rPr>
      </w:pPr>
    </w:p>
    <w:p>
      <w:pPr>
        <w:spacing w:before="0"/>
        <w:ind w:left="905" w:right="0" w:firstLine="0"/>
        <w:jc w:val="left"/>
        <w:rPr>
          <w:b/>
          <w:sz w:val="22"/>
        </w:rPr>
      </w:pPr>
      <w:r>
        <w:rPr>
          <w:b/>
          <w:sz w:val="22"/>
        </w:rPr>
        <w:t>Call for Papers</w:t>
      </w:r>
    </w:p>
    <w:p>
      <w:pPr>
        <w:pStyle w:val="BodyText"/>
        <w:spacing w:line="259" w:lineRule="auto" w:before="179"/>
        <w:ind w:left="905" w:right="205"/>
      </w:pPr>
      <w:r>
        <w:rPr/>
        <w:t>Interested participants may send an abstract of a length not more than 450 words in .doc/ .docx format with 12 Times New Roman Font before 20.04.2019 at</w:t>
      </w:r>
      <w:hyperlink r:id="rId7">
        <w:r>
          <w:rPr/>
          <w:t> crcjmnlu@gmail.com. </w:t>
        </w:r>
      </w:hyperlink>
      <w:r>
        <w:rPr/>
        <w:t>5 keywords should also be added. Full length paper is to be submitted after acceptance of the abstract. Selected papers will be published in ISBN book. One co-author is permitted.</w:t>
      </w:r>
    </w:p>
    <w:p>
      <w:pPr>
        <w:pStyle w:val="BodyText"/>
        <w:spacing w:before="2" w:after="1"/>
        <w:rPr>
          <w:sz w:val="13"/>
        </w:rPr>
      </w:pPr>
    </w:p>
    <w:tbl>
      <w:tblPr>
        <w:tblW w:w="0" w:type="auto"/>
        <w:jc w:val="left"/>
        <w:tblInd w:w="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40"/>
        <w:gridCol w:w="1355"/>
      </w:tblGrid>
      <w:tr>
        <w:trPr>
          <w:trHeight w:val="245" w:hRule="atLeast"/>
        </w:trPr>
        <w:tc>
          <w:tcPr>
            <w:tcW w:w="1840" w:type="dxa"/>
            <w:shd w:val="clear" w:color="auto" w:fill="E7E6E6"/>
          </w:tcPr>
          <w:p>
            <w:pPr>
              <w:pStyle w:val="TableParagraph"/>
              <w:spacing w:line="225" w:lineRule="exact"/>
              <w:ind w:left="105"/>
              <w:rPr>
                <w:sz w:val="20"/>
              </w:rPr>
            </w:pPr>
            <w:r>
              <w:rPr>
                <w:color w:val="001F5F"/>
                <w:sz w:val="20"/>
              </w:rPr>
              <w:t>Date</w:t>
            </w:r>
          </w:p>
        </w:tc>
        <w:tc>
          <w:tcPr>
            <w:tcW w:w="1355" w:type="dxa"/>
            <w:shd w:val="clear" w:color="auto" w:fill="E7E6E6"/>
          </w:tcPr>
          <w:p>
            <w:pPr>
              <w:pStyle w:val="TableParagraph"/>
              <w:spacing w:line="225" w:lineRule="exact"/>
              <w:rPr>
                <w:sz w:val="20"/>
              </w:rPr>
            </w:pPr>
            <w:r>
              <w:rPr>
                <w:color w:val="001F5F"/>
                <w:sz w:val="20"/>
              </w:rPr>
              <w:t>Stage</w:t>
            </w:r>
          </w:p>
        </w:tc>
      </w:tr>
      <w:tr>
        <w:trPr>
          <w:trHeight w:val="730" w:hRule="atLeast"/>
        </w:trPr>
        <w:tc>
          <w:tcPr>
            <w:tcW w:w="1840" w:type="dxa"/>
            <w:shd w:val="clear" w:color="auto" w:fill="E7E6E6"/>
          </w:tcPr>
          <w:p>
            <w:pPr>
              <w:pStyle w:val="TableParagraph"/>
              <w:spacing w:line="239" w:lineRule="exact"/>
              <w:ind w:left="105"/>
              <w:rPr>
                <w:sz w:val="20"/>
              </w:rPr>
            </w:pPr>
            <w:r>
              <w:rPr>
                <w:color w:val="001F5F"/>
                <w:sz w:val="20"/>
              </w:rPr>
              <w:t>15.04.2019</w:t>
            </w:r>
          </w:p>
        </w:tc>
        <w:tc>
          <w:tcPr>
            <w:tcW w:w="1355" w:type="dxa"/>
            <w:shd w:val="clear" w:color="auto" w:fill="E7E6E6"/>
          </w:tcPr>
          <w:p>
            <w:pPr>
              <w:pStyle w:val="TableParagraph"/>
              <w:tabs>
                <w:tab w:pos="939" w:val="left" w:leader="none"/>
              </w:tabs>
              <w:ind w:right="98"/>
              <w:rPr>
                <w:sz w:val="20"/>
              </w:rPr>
            </w:pPr>
            <w:r>
              <w:rPr>
                <w:color w:val="001F5F"/>
                <w:sz w:val="20"/>
              </w:rPr>
              <w:t>Last date to register</w:t>
              <w:tab/>
            </w:r>
            <w:r>
              <w:rPr>
                <w:color w:val="001F5F"/>
                <w:spacing w:val="-6"/>
                <w:sz w:val="20"/>
              </w:rPr>
              <w:t>and</w:t>
            </w:r>
          </w:p>
          <w:p>
            <w:pPr>
              <w:pStyle w:val="TableParagraph"/>
              <w:spacing w:line="225" w:lineRule="exact"/>
              <w:rPr>
                <w:sz w:val="20"/>
              </w:rPr>
            </w:pPr>
            <w:r>
              <w:rPr>
                <w:color w:val="001F5F"/>
                <w:sz w:val="20"/>
              </w:rPr>
              <w:t>pay fees</w:t>
            </w:r>
          </w:p>
        </w:tc>
      </w:tr>
      <w:tr>
        <w:trPr>
          <w:trHeight w:val="490" w:hRule="atLeast"/>
        </w:trPr>
        <w:tc>
          <w:tcPr>
            <w:tcW w:w="1840" w:type="dxa"/>
            <w:shd w:val="clear" w:color="auto" w:fill="E7E6E6"/>
          </w:tcPr>
          <w:p>
            <w:pPr>
              <w:pStyle w:val="TableParagraph"/>
              <w:spacing w:line="244" w:lineRule="exact"/>
              <w:ind w:left="105"/>
              <w:rPr>
                <w:sz w:val="20"/>
              </w:rPr>
            </w:pPr>
            <w:r>
              <w:rPr>
                <w:color w:val="001F5F"/>
                <w:sz w:val="20"/>
              </w:rPr>
              <w:t>20.04.2019</w:t>
            </w:r>
          </w:p>
        </w:tc>
        <w:tc>
          <w:tcPr>
            <w:tcW w:w="1355" w:type="dxa"/>
            <w:shd w:val="clear" w:color="auto" w:fill="E7E6E6"/>
          </w:tcPr>
          <w:p>
            <w:pPr>
              <w:pStyle w:val="TableParagraph"/>
              <w:spacing w:line="244" w:lineRule="exact"/>
              <w:rPr>
                <w:sz w:val="20"/>
              </w:rPr>
            </w:pPr>
            <w:r>
              <w:rPr>
                <w:color w:val="001F5F"/>
                <w:sz w:val="20"/>
              </w:rPr>
              <w:t>Submission of</w:t>
            </w:r>
          </w:p>
          <w:p>
            <w:pPr>
              <w:pStyle w:val="TableParagraph"/>
              <w:spacing w:line="225" w:lineRule="exact" w:before="1"/>
              <w:rPr>
                <w:sz w:val="20"/>
              </w:rPr>
            </w:pPr>
            <w:r>
              <w:rPr>
                <w:color w:val="001F5F"/>
                <w:sz w:val="20"/>
              </w:rPr>
              <w:t>Abstract</w:t>
            </w:r>
          </w:p>
        </w:tc>
      </w:tr>
      <w:tr>
        <w:trPr>
          <w:trHeight w:val="975" w:hRule="atLeast"/>
        </w:trPr>
        <w:tc>
          <w:tcPr>
            <w:tcW w:w="1840" w:type="dxa"/>
            <w:shd w:val="clear" w:color="auto" w:fill="E7E6E6"/>
          </w:tcPr>
          <w:p>
            <w:pPr>
              <w:pStyle w:val="TableParagraph"/>
              <w:spacing w:line="244" w:lineRule="exact"/>
              <w:ind w:left="105"/>
              <w:rPr>
                <w:sz w:val="20"/>
              </w:rPr>
            </w:pPr>
            <w:r>
              <w:rPr>
                <w:color w:val="001F5F"/>
                <w:sz w:val="20"/>
              </w:rPr>
              <w:t>25.04.2019</w:t>
            </w:r>
          </w:p>
        </w:tc>
        <w:tc>
          <w:tcPr>
            <w:tcW w:w="1355" w:type="dxa"/>
            <w:shd w:val="clear" w:color="auto" w:fill="E7E6E6"/>
          </w:tcPr>
          <w:p>
            <w:pPr>
              <w:pStyle w:val="TableParagraph"/>
              <w:spacing w:line="237" w:lineRule="auto" w:before="1"/>
              <w:ind w:right="142"/>
              <w:rPr>
                <w:sz w:val="20"/>
              </w:rPr>
            </w:pPr>
            <w:r>
              <w:rPr>
                <w:color w:val="001F5F"/>
                <w:sz w:val="20"/>
              </w:rPr>
              <w:t>Confirmation of Acceptance</w:t>
            </w:r>
          </w:p>
          <w:p>
            <w:pPr>
              <w:pStyle w:val="TableParagraph"/>
              <w:spacing w:line="225" w:lineRule="exact" w:before="3"/>
              <w:rPr>
                <w:sz w:val="20"/>
              </w:rPr>
            </w:pPr>
            <w:r>
              <w:rPr>
                <w:color w:val="001F5F"/>
                <w:sz w:val="20"/>
              </w:rPr>
              <w:t>of Abstract</w:t>
            </w:r>
          </w:p>
        </w:tc>
      </w:tr>
      <w:tr>
        <w:trPr>
          <w:trHeight w:val="975" w:hRule="atLeast"/>
        </w:trPr>
        <w:tc>
          <w:tcPr>
            <w:tcW w:w="1840" w:type="dxa"/>
            <w:shd w:val="clear" w:color="auto" w:fill="E7E6E6"/>
          </w:tcPr>
          <w:p>
            <w:pPr>
              <w:pStyle w:val="TableParagraph"/>
              <w:ind w:left="105"/>
              <w:rPr>
                <w:sz w:val="20"/>
              </w:rPr>
            </w:pPr>
            <w:r>
              <w:rPr>
                <w:color w:val="001F5F"/>
                <w:sz w:val="20"/>
              </w:rPr>
              <w:t>01.05.2019</w:t>
            </w:r>
          </w:p>
        </w:tc>
        <w:tc>
          <w:tcPr>
            <w:tcW w:w="1355" w:type="dxa"/>
            <w:shd w:val="clear" w:color="auto" w:fill="E7E6E6"/>
          </w:tcPr>
          <w:p>
            <w:pPr>
              <w:pStyle w:val="TableParagraph"/>
              <w:ind w:right="102"/>
              <w:jc w:val="both"/>
              <w:rPr>
                <w:sz w:val="20"/>
              </w:rPr>
            </w:pPr>
            <w:r>
              <w:rPr>
                <w:color w:val="001F5F"/>
                <w:sz w:val="20"/>
              </w:rPr>
              <w:t>Last Date to Submit Full Paper</w:t>
            </w:r>
          </w:p>
        </w:tc>
      </w:tr>
      <w:tr>
        <w:trPr>
          <w:trHeight w:val="390" w:hRule="atLeast"/>
        </w:trPr>
        <w:tc>
          <w:tcPr>
            <w:tcW w:w="1840" w:type="dxa"/>
            <w:shd w:val="clear" w:color="auto" w:fill="E7E6E6"/>
          </w:tcPr>
          <w:p>
            <w:pPr>
              <w:pStyle w:val="TableParagraph"/>
              <w:spacing w:line="244" w:lineRule="exact"/>
              <w:ind w:left="105"/>
              <w:rPr>
                <w:sz w:val="20"/>
              </w:rPr>
            </w:pPr>
            <w:r>
              <w:rPr>
                <w:color w:val="001F5F"/>
                <w:sz w:val="20"/>
              </w:rPr>
              <w:t>04.05.2019</w:t>
            </w:r>
          </w:p>
        </w:tc>
        <w:tc>
          <w:tcPr>
            <w:tcW w:w="1355" w:type="dxa"/>
            <w:shd w:val="clear" w:color="auto" w:fill="E7E6E6"/>
          </w:tcPr>
          <w:p>
            <w:pPr>
              <w:pStyle w:val="TableParagraph"/>
              <w:spacing w:line="244" w:lineRule="exact"/>
              <w:rPr>
                <w:sz w:val="20"/>
              </w:rPr>
            </w:pPr>
            <w:r>
              <w:rPr>
                <w:color w:val="001F5F"/>
                <w:sz w:val="20"/>
              </w:rPr>
              <w:t>Conference</w:t>
            </w:r>
          </w:p>
        </w:tc>
      </w:tr>
    </w:tbl>
    <w:p>
      <w:pPr>
        <w:pStyle w:val="BodyText"/>
        <w:rPr>
          <w:sz w:val="22"/>
        </w:rPr>
      </w:pPr>
    </w:p>
    <w:p>
      <w:pPr>
        <w:pStyle w:val="BodyText"/>
        <w:spacing w:before="10"/>
        <w:rPr>
          <w:sz w:val="23"/>
        </w:rPr>
      </w:pPr>
    </w:p>
    <w:p>
      <w:pPr>
        <w:spacing w:line="415" w:lineRule="auto" w:before="1"/>
        <w:ind w:left="570" w:right="2224" w:firstLine="9"/>
        <w:jc w:val="center"/>
        <w:rPr>
          <w:sz w:val="20"/>
        </w:rPr>
      </w:pPr>
      <w:r>
        <w:rPr>
          <w:b/>
          <w:color w:val="833B0A"/>
          <w:sz w:val="20"/>
        </w:rPr>
        <w:t>Coordinators </w:t>
      </w:r>
      <w:r>
        <w:rPr>
          <w:color w:val="833B0A"/>
          <w:sz w:val="20"/>
        </w:rPr>
        <w:t>Avani Gupta Arnav Maru Shebani</w:t>
      </w:r>
      <w:r>
        <w:rPr>
          <w:color w:val="833B0A"/>
          <w:spacing w:val="-11"/>
          <w:sz w:val="20"/>
        </w:rPr>
        <w:t> </w:t>
      </w:r>
      <w:r>
        <w:rPr>
          <w:color w:val="833B0A"/>
          <w:sz w:val="20"/>
        </w:rPr>
        <w:t>Bhargava</w:t>
      </w:r>
    </w:p>
    <w:p>
      <w:pPr>
        <w:spacing w:line="417" w:lineRule="auto" w:before="5"/>
        <w:ind w:left="435" w:right="2085" w:firstLine="0"/>
        <w:jc w:val="center"/>
        <w:rPr>
          <w:sz w:val="20"/>
        </w:rPr>
      </w:pPr>
      <w:r>
        <w:rPr>
          <w:color w:val="833B0A"/>
          <w:sz w:val="20"/>
        </w:rPr>
        <w:t>Natasha Maheshwari Gopal Gaur</w:t>
      </w:r>
    </w:p>
    <w:p>
      <w:pPr>
        <w:spacing w:line="412" w:lineRule="auto" w:before="1"/>
        <w:ind w:left="105" w:right="1289" w:firstLine="590"/>
        <w:jc w:val="left"/>
        <w:rPr>
          <w:sz w:val="20"/>
        </w:rPr>
      </w:pPr>
      <w:r>
        <w:rPr>
          <w:color w:val="833B0A"/>
          <w:sz w:val="20"/>
        </w:rPr>
        <w:t>Aditya Prakash Shreenandini Mukhopadhyay</w:t>
      </w:r>
    </w:p>
    <w:p>
      <w:pPr>
        <w:spacing w:before="5"/>
        <w:ind w:left="790" w:right="0" w:firstLine="0"/>
        <w:jc w:val="left"/>
        <w:rPr>
          <w:sz w:val="20"/>
        </w:rPr>
      </w:pPr>
      <w:r>
        <w:rPr>
          <w:color w:val="833B0A"/>
          <w:sz w:val="20"/>
        </w:rPr>
        <w:t>Rahul Pawar</w:t>
      </w:r>
    </w:p>
    <w:p>
      <w:pPr>
        <w:spacing w:after="0"/>
        <w:jc w:val="left"/>
        <w:rPr>
          <w:sz w:val="20"/>
        </w:rPr>
        <w:sectPr>
          <w:type w:val="continuous"/>
          <w:pgSz w:w="12240" w:h="18720"/>
          <w:pgMar w:top="0" w:bottom="280" w:left="760" w:right="600"/>
          <w:cols w:num="2" w:equalWidth="0">
            <w:col w:w="6598" w:space="40"/>
            <w:col w:w="4242"/>
          </w:cols>
        </w:sectPr>
      </w:pPr>
    </w:p>
    <w:p>
      <w:pPr>
        <w:pStyle w:val="BodyText"/>
        <w:rPr>
          <w:sz w:val="20"/>
        </w:rPr>
      </w:pPr>
    </w:p>
    <w:p>
      <w:pPr>
        <w:pStyle w:val="BodyText"/>
        <w:rPr>
          <w:sz w:val="20"/>
        </w:rPr>
      </w:pPr>
    </w:p>
    <w:p>
      <w:pPr>
        <w:pStyle w:val="BodyText"/>
        <w:spacing w:before="9"/>
      </w:pPr>
    </w:p>
    <w:p>
      <w:pPr>
        <w:spacing w:before="100"/>
        <w:ind w:left="1395" w:right="1680" w:firstLine="0"/>
        <w:jc w:val="center"/>
        <w:rPr>
          <w:b/>
          <w:sz w:val="24"/>
        </w:rPr>
      </w:pPr>
      <w:r>
        <w:rPr/>
        <w:pict>
          <v:group style="position:absolute;margin-left:51.349998pt;margin-top:-35.394249pt;width:507.7pt;height:675.6pt;mso-position-horizontal-relative:page;mso-position-vertical-relative:paragraph;z-index:-251883520" coordorigin="1027,-708" coordsize="10154,13512">
            <v:shape style="position:absolute;left:1037;top:-698;width:10134;height:13492" coordorigin="1037,-698" coordsize="10134,13492" path="m9482,-698l2726,-698,2651,-696,2576,-691,2503,-683,2430,-672,2359,-658,2289,-641,2219,-621,2152,-598,2085,-572,2020,-544,1956,-513,1894,-479,1833,-443,1774,-404,1717,-364,1662,-321,1608,-275,1557,-228,1507,-178,1460,-127,1414,-73,1371,-18,1330,40,1292,98,1256,159,1222,221,1191,285,1163,350,1137,417,1114,485,1094,554,1077,624,1063,696,1052,768,1044,841,1039,916,1037,991,1037,11105,1039,11180,1044,11255,1052,11328,1063,11401,1077,11472,1094,11543,1114,11612,1137,11680,1163,11746,1191,11811,1222,11875,1256,11937,1292,11998,1330,12057,1371,12114,1414,12169,1460,12223,1507,12274,1557,12324,1608,12371,1662,12417,1717,12460,1774,12501,1833,12539,1894,12575,1956,12609,2020,12640,2085,12668,2152,12694,2219,12717,2289,12737,2359,12754,2430,12768,2503,12780,2576,12788,2651,12792,2726,12794,9482,12794,9557,12792,9632,12788,9705,12780,9778,12768,9849,12754,9919,12737,9989,12717,10056,12694,10123,12668,10188,12640,10252,12609,10314,12575,10375,12539,10434,12501,10491,12460,10546,12417,10600,12371,10651,12324,10701,12274,10748,12223,10794,12169,10837,12114,10878,12057,10916,11998,10952,11937,10986,11875,11017,11811,11045,11746,11071,11680,11094,11612,11114,11543,11131,11472,11145,11401,11156,11328,11164,11255,11169,11180,11171,11105,11171,991,11169,916,11164,841,11156,768,11145,696,11131,624,11114,554,11094,485,11071,417,11045,350,11017,285,10986,221,10952,159,10916,98,10878,40,10837,-18,10794,-73,10748,-127,10701,-178,10651,-228,10600,-275,10546,-321,10491,-364,10434,-404,10375,-443,10314,-479,10252,-513,10188,-544,10123,-572,10056,-598,9989,-621,9919,-641,9849,-658,9778,-672,9705,-683,9632,-691,9557,-696,9482,-698xe" filled="true" fillcolor="#e1efd9" stroked="false">
              <v:path arrowok="t"/>
              <v:fill type="solid"/>
            </v:shape>
            <v:shape style="position:absolute;left:1037;top:-698;width:10134;height:13492" coordorigin="1037,-698" coordsize="10134,13492" path="m1037,991l1039,916,1044,841,1052,768,1063,696,1077,624,1094,554,1114,485,1137,417,1163,350,1191,285,1222,221,1256,159,1292,98,1330,40,1371,-18,1414,-73,1460,-127,1507,-178,1557,-228,1608,-275,1662,-321,1717,-364,1774,-404,1833,-443,1894,-479,1956,-513,2020,-544,2085,-572,2152,-598,2219,-621,2289,-641,2359,-658,2430,-672,2503,-683,2576,-691,2651,-696,2726,-698,9482,-698,9557,-696,9632,-691,9705,-683,9778,-672,9849,-658,9919,-641,9989,-621,10056,-598,10123,-572,10188,-544,10252,-513,10314,-479,10375,-443,10434,-404,10491,-364,10546,-321,10600,-275,10651,-228,10701,-178,10748,-127,10794,-73,10837,-18,10878,40,10916,98,10952,159,10986,221,11017,285,11045,350,11071,417,11094,485,11114,554,11131,624,11145,696,11156,768,11164,841,11169,916,11171,991,11171,11105,11169,11180,11164,11255,11156,11328,11145,11401,11131,11472,11114,11543,11094,11612,11071,11680,11045,11746,11017,11811,10986,11875,10952,11937,10916,11998,10878,12057,10837,12114,10794,12169,10748,12223,10701,12274,10651,12324,10600,12371,10546,12417,10491,12460,10434,12501,10375,12539,10314,12575,10252,12609,10188,12640,10123,12668,10056,12694,9989,12717,9919,12737,9849,12754,9778,12768,9705,12780,9632,12788,9557,12792,9482,12794,2726,12794,2651,12792,2576,12788,2503,12780,2430,12768,2359,12754,2289,12737,2219,12717,2152,12694,2085,12668,2020,12640,1956,12609,1894,12575,1833,12539,1774,12501,1717,12460,1662,12417,1608,12371,1557,12324,1507,12274,1460,12223,1414,12169,1371,12114,1330,12057,1292,11998,1256,11937,1222,11875,1191,11811,1163,11746,1137,11680,1114,11612,1094,11543,1077,11472,1063,11401,1052,11328,1044,11255,1039,11180,1037,11105,1037,991xe" filled="false" stroked="true" strokeweight="1pt" strokecolor="#6fac46">
              <v:path arrowok="t"/>
              <v:stroke dashstyle="solid"/>
            </v:shape>
            <v:shape style="position:absolute;left:3785;top:4842;width:432;height:527" type="#_x0000_t75" stroked="false">
              <v:imagedata r:id="rId8" o:title=""/>
            </v:shape>
            <v:line style="position:absolute" from="1655,6560" to="10459,6560" stroked="true" strokeweight=".5pt" strokecolor="#000000">
              <v:stroke dashstyle="solid"/>
            </v:line>
            <w10:wrap type="none"/>
          </v:group>
        </w:pict>
      </w:r>
      <w:r>
        <w:rPr>
          <w:b/>
          <w:sz w:val="24"/>
        </w:rPr>
        <w:t>Registration Form</w:t>
      </w:r>
    </w:p>
    <w:p>
      <w:pPr>
        <w:spacing w:before="162"/>
        <w:ind w:left="977" w:right="1271" w:firstLine="0"/>
        <w:jc w:val="center"/>
        <w:rPr>
          <w:b/>
          <w:sz w:val="24"/>
        </w:rPr>
      </w:pPr>
      <w:r>
        <w:rPr>
          <w:b/>
          <w:color w:val="001F5F"/>
          <w:sz w:val="24"/>
        </w:rPr>
        <w:t>Centre For Research In Criminal Justice, Maharashtra National Law University Mumbai</w:t>
      </w:r>
    </w:p>
    <w:p>
      <w:pPr>
        <w:spacing w:line="242" w:lineRule="auto" w:before="157"/>
        <w:ind w:left="977" w:right="1261" w:firstLine="0"/>
        <w:jc w:val="center"/>
        <w:rPr>
          <w:b/>
          <w:sz w:val="24"/>
        </w:rPr>
      </w:pPr>
      <w:r>
        <w:rPr>
          <w:b/>
          <w:color w:val="FF0000"/>
          <w:sz w:val="24"/>
        </w:rPr>
        <w:t>National Conference on Reforms in Criminal Justice System – Revisiting Justice Malimath Committee Report</w:t>
      </w:r>
    </w:p>
    <w:p>
      <w:pPr>
        <w:spacing w:before="151"/>
        <w:ind w:left="1397" w:right="1680" w:firstLine="0"/>
        <w:jc w:val="center"/>
        <w:rPr>
          <w:rFonts w:ascii="Times New Roman"/>
          <w:i/>
          <w:sz w:val="22"/>
        </w:rPr>
      </w:pPr>
      <w:r>
        <w:rPr>
          <w:rFonts w:ascii="Times New Roman"/>
          <w:i/>
          <w:sz w:val="22"/>
        </w:rPr>
        <w:t>04</w:t>
      </w:r>
      <w:r>
        <w:rPr>
          <w:rFonts w:ascii="Times New Roman"/>
          <w:i/>
          <w:position w:val="8"/>
          <w:sz w:val="14"/>
        </w:rPr>
        <w:t>th  </w:t>
      </w:r>
      <w:r>
        <w:rPr>
          <w:rFonts w:ascii="Times New Roman"/>
          <w:i/>
          <w:sz w:val="22"/>
        </w:rPr>
        <w:t>May 2019</w:t>
      </w:r>
    </w:p>
    <w:p>
      <w:pPr>
        <w:pStyle w:val="BodyText"/>
        <w:rPr>
          <w:rFonts w:ascii="Times New Roman"/>
          <w:i/>
          <w:sz w:val="20"/>
        </w:rPr>
      </w:pPr>
    </w:p>
    <w:p>
      <w:pPr>
        <w:pStyle w:val="BodyText"/>
        <w:spacing w:before="5"/>
        <w:rPr>
          <w:rFonts w:ascii="Times New Roman"/>
          <w:i/>
          <w:sz w:val="26"/>
        </w:rPr>
      </w:pPr>
    </w:p>
    <w:p>
      <w:pPr>
        <w:spacing w:after="0"/>
        <w:rPr>
          <w:rFonts w:ascii="Times New Roman"/>
          <w:sz w:val="26"/>
        </w:rPr>
        <w:sectPr>
          <w:pgSz w:w="12240" w:h="18720"/>
          <w:pgMar w:top="1060" w:bottom="280" w:left="760" w:right="600"/>
        </w:sectPr>
      </w:pPr>
    </w:p>
    <w:p>
      <w:pPr>
        <w:spacing w:line="398" w:lineRule="auto" w:before="90"/>
        <w:ind w:left="925" w:right="3005" w:firstLine="0"/>
        <w:jc w:val="left"/>
        <w:rPr>
          <w:rFonts w:ascii="Times New Roman" w:hAnsi="Times New Roman"/>
          <w:sz w:val="24"/>
        </w:rPr>
      </w:pPr>
      <w:r>
        <w:rPr>
          <w:rFonts w:ascii="Times New Roman" w:hAnsi="Times New Roman"/>
          <w:sz w:val="24"/>
        </w:rPr>
        <w:t>Name – Institute – Qualification – Email Id –</w:t>
      </w:r>
    </w:p>
    <w:p>
      <w:pPr>
        <w:spacing w:line="400" w:lineRule="auto" w:before="0"/>
        <w:ind w:left="925" w:right="2251" w:firstLine="0"/>
        <w:jc w:val="left"/>
        <w:rPr>
          <w:rFonts w:ascii="Times New Roman" w:hAnsi="Times New Roman"/>
          <w:sz w:val="24"/>
        </w:rPr>
      </w:pPr>
      <w:r>
        <w:rPr>
          <w:rFonts w:ascii="Times New Roman" w:hAnsi="Times New Roman"/>
          <w:sz w:val="24"/>
        </w:rPr>
        <w:t>Contact Number – Details of NEFT/ DD –</w:t>
      </w:r>
    </w:p>
    <w:p>
      <w:pPr>
        <w:spacing w:line="270" w:lineRule="exact" w:before="0"/>
        <w:ind w:left="925" w:right="0" w:firstLine="0"/>
        <w:jc w:val="left"/>
        <w:rPr>
          <w:rFonts w:ascii="Times New Roman"/>
          <w:sz w:val="24"/>
        </w:rPr>
      </w:pPr>
      <w:r>
        <w:rPr>
          <w:rFonts w:ascii="Times New Roman"/>
          <w:sz w:val="24"/>
        </w:rPr>
        <w:t>Accommodation - (Yes) or (N0)</w:t>
      </w:r>
    </w:p>
    <w:p>
      <w:pPr>
        <w:spacing w:before="171"/>
        <w:ind w:left="0" w:right="38" w:firstLine="0"/>
        <w:jc w:val="right"/>
        <w:rPr>
          <w:sz w:val="22"/>
        </w:rPr>
      </w:pPr>
      <w:r>
        <w:rPr>
          <w:sz w:val="22"/>
        </w:rPr>
        <w:t>A</w:t>
      </w:r>
    </w:p>
    <w:p>
      <w:pPr>
        <w:pStyle w:val="BodyText"/>
        <w:rPr>
          <w:sz w:val="24"/>
        </w:rPr>
      </w:pPr>
      <w:r>
        <w:rPr/>
        <w:br w:type="column"/>
      </w:r>
      <w:r>
        <w:rPr>
          <w:sz w:val="24"/>
        </w:rPr>
      </w: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spacing w:before="5"/>
        <w:rPr>
          <w:sz w:val="29"/>
        </w:rPr>
      </w:pPr>
    </w:p>
    <w:p>
      <w:pPr>
        <w:spacing w:before="1"/>
        <w:ind w:left="925" w:right="0" w:firstLine="0"/>
        <w:jc w:val="left"/>
        <w:rPr>
          <w:rFonts w:ascii="Times New Roman"/>
          <w:i/>
          <w:sz w:val="22"/>
        </w:rPr>
      </w:pPr>
      <w:r>
        <w:rPr>
          <w:rFonts w:ascii="Times New Roman"/>
          <w:i/>
          <w:sz w:val="22"/>
        </w:rPr>
        <w:t>Signature</w:t>
      </w:r>
    </w:p>
    <w:p>
      <w:pPr>
        <w:spacing w:after="0"/>
        <w:jc w:val="left"/>
        <w:rPr>
          <w:rFonts w:ascii="Times New Roman"/>
          <w:sz w:val="22"/>
        </w:rPr>
        <w:sectPr>
          <w:type w:val="continuous"/>
          <w:pgSz w:w="12240" w:h="18720"/>
          <w:pgMar w:top="0" w:bottom="280" w:left="760" w:right="600"/>
          <w:cols w:num="2" w:equalWidth="0">
            <w:col w:w="5450" w:space="1053"/>
            <w:col w:w="4377"/>
          </w:cols>
        </w:sectPr>
      </w:pPr>
    </w:p>
    <w:p>
      <w:pPr>
        <w:pStyle w:val="BodyText"/>
        <w:rPr>
          <w:rFonts w:ascii="Times New Roman"/>
          <w:i/>
          <w:sz w:val="20"/>
        </w:rPr>
      </w:pPr>
      <w:r>
        <w:rPr/>
        <w:pict>
          <v:rect style="position:absolute;margin-left:0pt;margin-top:0pt;width:612pt;height:936pt;mso-position-horizontal-relative:page;mso-position-vertical-relative:page;z-index:-251884544" filled="true" fillcolor="#e7e6e6" stroked="false">
            <v:fill type="solid"/>
            <w10:wrap type="none"/>
          </v:rect>
        </w:pict>
      </w:r>
    </w:p>
    <w:p>
      <w:pPr>
        <w:pStyle w:val="BodyText"/>
        <w:spacing w:before="3"/>
        <w:rPr>
          <w:rFonts w:ascii="Times New Roman"/>
          <w:i/>
          <w:sz w:val="26"/>
        </w:rPr>
      </w:pPr>
    </w:p>
    <w:p>
      <w:pPr>
        <w:spacing w:line="259" w:lineRule="auto" w:before="100"/>
        <w:ind w:left="925" w:right="1252" w:firstLine="0"/>
        <w:jc w:val="left"/>
        <w:rPr>
          <w:sz w:val="22"/>
        </w:rPr>
      </w:pPr>
      <w:r>
        <w:rPr>
          <w:rFonts w:ascii="Times New Roman"/>
          <w:color w:val="001F5F"/>
          <w:sz w:val="22"/>
        </w:rPr>
        <w:t>* </w:t>
      </w:r>
      <w:r>
        <w:rPr>
          <w:color w:val="001F5F"/>
          <w:sz w:val="20"/>
        </w:rPr>
        <w:t>I</w:t>
      </w:r>
      <w:r>
        <w:rPr>
          <w:color w:val="001F5F"/>
          <w:sz w:val="22"/>
        </w:rPr>
        <w:t>nterested academics, researchers and students may register for the conference by sending an email </w:t>
      </w:r>
      <w:hyperlink r:id="rId7">
        <w:r>
          <w:rPr>
            <w:color w:val="001F5F"/>
            <w:sz w:val="22"/>
          </w:rPr>
          <w:t>at crcjmnlu@gmail.com </w:t>
        </w:r>
      </w:hyperlink>
      <w:r>
        <w:rPr>
          <w:color w:val="001F5F"/>
          <w:sz w:val="22"/>
        </w:rPr>
        <w:t>in the prescribed format and paying the requisite fees. On the spot registration is available for only participation without paper presentation.</w:t>
      </w:r>
    </w:p>
    <w:p>
      <w:pPr>
        <w:spacing w:line="254" w:lineRule="auto" w:before="155"/>
        <w:ind w:left="925" w:right="1211" w:firstLine="0"/>
        <w:jc w:val="both"/>
        <w:rPr>
          <w:sz w:val="22"/>
        </w:rPr>
      </w:pPr>
      <w:r>
        <w:rPr>
          <w:color w:val="001F5F"/>
          <w:sz w:val="22"/>
        </w:rPr>
        <w:t>** Account Details for payment of fees through NEFT are – Name of Bank A/c: Maharashtra National Law University Mumbai. Axis Bank A/c No.: </w:t>
      </w:r>
      <w:r>
        <w:rPr>
          <w:b/>
          <w:color w:val="001F5F"/>
          <w:sz w:val="22"/>
        </w:rPr>
        <w:t>915010046322292</w:t>
      </w:r>
      <w:r>
        <w:rPr>
          <w:color w:val="001F5F"/>
          <w:sz w:val="22"/>
        </w:rPr>
        <w:t>. IFSC  Code: UTIB0000233. Branch: Marine</w:t>
      </w:r>
      <w:r>
        <w:rPr>
          <w:color w:val="001F5F"/>
          <w:spacing w:val="10"/>
          <w:sz w:val="22"/>
        </w:rPr>
        <w:t> </w:t>
      </w:r>
      <w:r>
        <w:rPr>
          <w:color w:val="001F5F"/>
          <w:sz w:val="22"/>
        </w:rPr>
        <w:t>Lines</w:t>
      </w:r>
    </w:p>
    <w:p>
      <w:pPr>
        <w:spacing w:before="232"/>
        <w:ind w:left="925" w:right="0" w:firstLine="0"/>
        <w:jc w:val="both"/>
        <w:rPr>
          <w:sz w:val="22"/>
        </w:rPr>
      </w:pPr>
      <w:r>
        <w:rPr>
          <w:color w:val="001F5F"/>
          <w:sz w:val="22"/>
        </w:rPr>
        <w:t>*** The DD is to be drawn in favour of Registrar, Maharashtra National Law University Mumbai.</w:t>
      </w:r>
    </w:p>
    <w:p>
      <w:pPr>
        <w:pStyle w:val="BodyText"/>
        <w:spacing w:before="9" w:after="1"/>
        <w:rPr>
          <w:sz w:val="14"/>
        </w:rPr>
      </w:pPr>
    </w:p>
    <w:tbl>
      <w:tblPr>
        <w:tblW w:w="0" w:type="auto"/>
        <w:jc w:val="left"/>
        <w:tblInd w:w="27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55"/>
        <w:gridCol w:w="1250"/>
        <w:gridCol w:w="1260"/>
        <w:gridCol w:w="1555"/>
      </w:tblGrid>
      <w:tr>
        <w:trPr>
          <w:trHeight w:val="975" w:hRule="atLeast"/>
        </w:trPr>
        <w:tc>
          <w:tcPr>
            <w:tcW w:w="1255" w:type="dxa"/>
            <w:shd w:val="clear" w:color="auto" w:fill="E7E6E6"/>
          </w:tcPr>
          <w:p>
            <w:pPr>
              <w:pStyle w:val="TableParagraph"/>
              <w:spacing w:line="239" w:lineRule="exact"/>
              <w:ind w:left="105"/>
              <w:rPr>
                <w:sz w:val="20"/>
              </w:rPr>
            </w:pPr>
            <w:r>
              <w:rPr>
                <w:color w:val="001F5F"/>
                <w:sz w:val="20"/>
              </w:rPr>
              <w:t>Category</w:t>
            </w:r>
          </w:p>
        </w:tc>
        <w:tc>
          <w:tcPr>
            <w:tcW w:w="1250" w:type="dxa"/>
            <w:shd w:val="clear" w:color="auto" w:fill="E7E6E6"/>
          </w:tcPr>
          <w:p>
            <w:pPr>
              <w:pStyle w:val="TableParagraph"/>
              <w:ind w:left="105"/>
              <w:rPr>
                <w:sz w:val="20"/>
              </w:rPr>
            </w:pPr>
            <w:r>
              <w:rPr>
                <w:color w:val="001F5F"/>
                <w:sz w:val="20"/>
              </w:rPr>
              <w:t>Participation (Rs.)</w:t>
            </w:r>
          </w:p>
        </w:tc>
        <w:tc>
          <w:tcPr>
            <w:tcW w:w="1260" w:type="dxa"/>
            <w:shd w:val="clear" w:color="auto" w:fill="E7E6E6"/>
          </w:tcPr>
          <w:p>
            <w:pPr>
              <w:pStyle w:val="TableParagraph"/>
              <w:ind w:right="78"/>
              <w:rPr>
                <w:sz w:val="20"/>
              </w:rPr>
            </w:pPr>
            <w:r>
              <w:rPr>
                <w:color w:val="001F5F"/>
                <w:sz w:val="20"/>
              </w:rPr>
              <w:t>Participation with Paper Presentation</w:t>
            </w:r>
          </w:p>
          <w:p>
            <w:pPr>
              <w:pStyle w:val="TableParagraph"/>
              <w:spacing w:line="225" w:lineRule="exact"/>
              <w:rPr>
                <w:sz w:val="20"/>
              </w:rPr>
            </w:pPr>
            <w:r>
              <w:rPr>
                <w:color w:val="001F5F"/>
                <w:sz w:val="20"/>
              </w:rPr>
              <w:t>(Rs.)</w:t>
            </w:r>
          </w:p>
        </w:tc>
        <w:tc>
          <w:tcPr>
            <w:tcW w:w="1555" w:type="dxa"/>
            <w:shd w:val="clear" w:color="auto" w:fill="E7E6E6"/>
          </w:tcPr>
          <w:p>
            <w:pPr>
              <w:pStyle w:val="TableParagraph"/>
              <w:ind w:left="106" w:right="60"/>
              <w:rPr>
                <w:sz w:val="20"/>
              </w:rPr>
            </w:pPr>
            <w:r>
              <w:rPr>
                <w:color w:val="001F5F"/>
                <w:sz w:val="20"/>
              </w:rPr>
              <w:t>Accommodation (Non- AC/Sharing)</w:t>
            </w:r>
          </w:p>
          <w:p>
            <w:pPr>
              <w:pStyle w:val="TableParagraph"/>
              <w:spacing w:line="225" w:lineRule="exact"/>
              <w:ind w:left="106"/>
              <w:rPr>
                <w:sz w:val="20"/>
              </w:rPr>
            </w:pPr>
            <w:r>
              <w:rPr>
                <w:color w:val="001F5F"/>
                <w:sz w:val="20"/>
              </w:rPr>
              <w:t>(Rs.)</w:t>
            </w:r>
          </w:p>
        </w:tc>
      </w:tr>
      <w:tr>
        <w:trPr>
          <w:trHeight w:val="1220" w:hRule="atLeast"/>
        </w:trPr>
        <w:tc>
          <w:tcPr>
            <w:tcW w:w="1255" w:type="dxa"/>
            <w:shd w:val="clear" w:color="auto" w:fill="E7E6E6"/>
          </w:tcPr>
          <w:p>
            <w:pPr>
              <w:pStyle w:val="TableParagraph"/>
              <w:ind w:left="105"/>
              <w:rPr>
                <w:sz w:val="20"/>
              </w:rPr>
            </w:pPr>
            <w:r>
              <w:rPr>
                <w:color w:val="001F5F"/>
                <w:sz w:val="20"/>
              </w:rPr>
              <w:t>Students Researchers Academics/ Practitioners</w:t>
            </w:r>
          </w:p>
        </w:tc>
        <w:tc>
          <w:tcPr>
            <w:tcW w:w="1250" w:type="dxa"/>
            <w:shd w:val="clear" w:color="auto" w:fill="E7E6E6"/>
          </w:tcPr>
          <w:p>
            <w:pPr>
              <w:pStyle w:val="TableParagraph"/>
              <w:spacing w:line="244" w:lineRule="exact"/>
              <w:ind w:left="105"/>
              <w:rPr>
                <w:sz w:val="20"/>
              </w:rPr>
            </w:pPr>
            <w:r>
              <w:rPr>
                <w:color w:val="001F5F"/>
                <w:spacing w:val="-2"/>
                <w:sz w:val="20"/>
              </w:rPr>
              <w:t>300</w:t>
            </w:r>
          </w:p>
          <w:p>
            <w:pPr>
              <w:pStyle w:val="TableParagraph"/>
              <w:spacing w:line="242" w:lineRule="exact" w:before="1"/>
              <w:ind w:left="105"/>
              <w:rPr>
                <w:sz w:val="20"/>
              </w:rPr>
            </w:pPr>
            <w:r>
              <w:rPr>
                <w:color w:val="001F5F"/>
                <w:spacing w:val="-2"/>
                <w:sz w:val="20"/>
              </w:rPr>
              <w:t>400</w:t>
            </w:r>
          </w:p>
          <w:p>
            <w:pPr>
              <w:pStyle w:val="TableParagraph"/>
              <w:spacing w:line="242" w:lineRule="exact"/>
              <w:ind w:left="105"/>
              <w:rPr>
                <w:sz w:val="20"/>
              </w:rPr>
            </w:pPr>
            <w:r>
              <w:rPr>
                <w:color w:val="001F5F"/>
                <w:spacing w:val="-2"/>
                <w:sz w:val="20"/>
              </w:rPr>
              <w:t>500</w:t>
            </w:r>
          </w:p>
        </w:tc>
        <w:tc>
          <w:tcPr>
            <w:tcW w:w="1260" w:type="dxa"/>
            <w:shd w:val="clear" w:color="auto" w:fill="E7E6E6"/>
          </w:tcPr>
          <w:p>
            <w:pPr>
              <w:pStyle w:val="TableParagraph"/>
              <w:spacing w:line="244" w:lineRule="exact"/>
              <w:rPr>
                <w:sz w:val="20"/>
              </w:rPr>
            </w:pPr>
            <w:r>
              <w:rPr>
                <w:color w:val="001F5F"/>
                <w:spacing w:val="-2"/>
                <w:sz w:val="20"/>
              </w:rPr>
              <w:t>500</w:t>
            </w:r>
          </w:p>
          <w:p>
            <w:pPr>
              <w:pStyle w:val="TableParagraph"/>
              <w:spacing w:line="242" w:lineRule="exact" w:before="1"/>
              <w:rPr>
                <w:sz w:val="20"/>
              </w:rPr>
            </w:pPr>
            <w:r>
              <w:rPr>
                <w:color w:val="001F5F"/>
                <w:spacing w:val="-2"/>
                <w:sz w:val="20"/>
              </w:rPr>
              <w:t>600</w:t>
            </w:r>
          </w:p>
          <w:p>
            <w:pPr>
              <w:pStyle w:val="TableParagraph"/>
              <w:spacing w:line="242" w:lineRule="exact"/>
              <w:rPr>
                <w:sz w:val="20"/>
              </w:rPr>
            </w:pPr>
            <w:r>
              <w:rPr>
                <w:color w:val="001F5F"/>
                <w:spacing w:val="-2"/>
                <w:sz w:val="20"/>
              </w:rPr>
              <w:t>700</w:t>
            </w:r>
          </w:p>
        </w:tc>
        <w:tc>
          <w:tcPr>
            <w:tcW w:w="1555" w:type="dxa"/>
            <w:shd w:val="clear" w:color="auto" w:fill="E7E6E6"/>
          </w:tcPr>
          <w:p>
            <w:pPr>
              <w:pStyle w:val="TableParagraph"/>
              <w:spacing w:line="237" w:lineRule="auto" w:before="1"/>
              <w:ind w:left="106" w:right="766"/>
              <w:jc w:val="both"/>
              <w:rPr>
                <w:sz w:val="20"/>
              </w:rPr>
            </w:pPr>
            <w:r>
              <w:rPr>
                <w:color w:val="001F5F"/>
                <w:sz w:val="20"/>
              </w:rPr>
              <w:t>800/day 800/day 800/day</w:t>
            </w:r>
          </w:p>
        </w:tc>
      </w:tr>
    </w:tbl>
    <w:p>
      <w:pPr>
        <w:spacing w:before="0"/>
        <w:ind w:left="925" w:right="0" w:firstLine="0"/>
        <w:jc w:val="both"/>
        <w:rPr>
          <w:sz w:val="20"/>
        </w:rPr>
      </w:pPr>
      <w:r>
        <w:rPr>
          <w:color w:val="001F5F"/>
          <w:sz w:val="20"/>
        </w:rPr>
        <w:t>* Accommodation is limited.</w:t>
      </w:r>
    </w:p>
    <w:p>
      <w:pPr>
        <w:spacing w:before="182"/>
        <w:ind w:left="977" w:right="1269" w:firstLine="0"/>
        <w:jc w:val="center"/>
        <w:rPr>
          <w:i/>
          <w:sz w:val="22"/>
        </w:rPr>
      </w:pPr>
      <w:r>
        <w:rPr>
          <w:i/>
          <w:color w:val="001F5F"/>
          <w:sz w:val="22"/>
        </w:rPr>
        <w:t>For any queries contact: Arnav Maru- 9424589075; Shebani Bhargava-9930287820</w:t>
      </w: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spacing w:before="10"/>
        <w:rPr>
          <w:i/>
          <w:sz w:val="17"/>
        </w:rPr>
      </w:pPr>
      <w:r>
        <w:rPr/>
        <w:pict>
          <v:group style="position:absolute;margin-left:107.099998pt;margin-top:12.851549pt;width:424.45pt;height:134.450pt;mso-position-horizontal-relative:page;mso-position-vertical-relative:paragraph;z-index:-251652096;mso-wrap-distance-left:0;mso-wrap-distance-right:0" coordorigin="2142,257" coordsize="8489,2689">
            <v:shape style="position:absolute;left:2152;top:267;width:8469;height:2669" coordorigin="2152,267" coordsize="8469,2669" path="m10176,267l2597,267,2525,273,2456,290,2392,317,2334,353,2282,397,2238,449,2202,507,2175,571,2158,640,2152,712,2152,2491,2158,2563,2175,2632,2202,2696,2238,2754,2282,2806,2334,2850,2392,2886,2456,2913,2525,2930,2597,2936,10176,2936,10248,2930,10317,2913,10381,2886,10439,2850,10491,2806,10535,2754,10571,2696,10598,2632,10615,2563,10621,2491,10621,712,10615,640,10598,571,10571,507,10535,449,10491,397,10439,353,10381,317,10317,290,10248,273,10176,267xe" filled="true" fillcolor="#538235" stroked="false">
              <v:path arrowok="t"/>
              <v:fill type="solid"/>
            </v:shape>
            <v:shape style="position:absolute;left:2152;top:267;width:8469;height:2669" coordorigin="2152,267" coordsize="8469,2669" path="m2152,712l2158,640,2175,571,2202,507,2238,449,2282,397,2334,353,2392,317,2456,290,2525,273,2597,267,10176,267,10248,273,10317,290,10381,317,10439,353,10491,397,10535,449,10571,507,10598,571,10615,640,10621,712,10621,2491,10615,2563,10598,2632,10571,2696,10535,2754,10491,2806,10439,2850,10381,2886,10317,2913,10248,2930,10176,2936,2597,2936,2525,2930,2456,2913,2392,2886,2334,2850,2282,2806,2238,2754,2202,2696,2175,2632,2158,2563,2152,2491,2152,712xe" filled="false" stroked="true" strokeweight="1pt" strokecolor="#6fac46">
              <v:path arrowok="t"/>
              <v:stroke dashstyle="solid"/>
            </v:shape>
            <v:shapetype id="_x0000_t202" o:spt="202" coordsize="21600,21600" path="m,l,21600r21600,l21600,xe">
              <v:stroke joinstyle="miter"/>
              <v:path gradientshapeok="t" o:connecttype="rect"/>
            </v:shapetype>
            <v:shape style="position:absolute;left:2142;top:257;width:8489;height:2689" type="#_x0000_t202" filled="false" stroked="false">
              <v:textbox inset="0,0,0,0">
                <w:txbxContent>
                  <w:p>
                    <w:pPr>
                      <w:spacing w:before="99"/>
                      <w:ind w:left="733" w:right="758" w:firstLine="0"/>
                      <w:jc w:val="center"/>
                      <w:rPr>
                        <w:b/>
                        <w:sz w:val="22"/>
                      </w:rPr>
                    </w:pPr>
                    <w:r>
                      <w:rPr>
                        <w:b/>
                        <w:sz w:val="22"/>
                      </w:rPr>
                      <w:t>Venue</w:t>
                    </w:r>
                  </w:p>
                  <w:p>
                    <w:pPr>
                      <w:spacing w:before="1"/>
                      <w:ind w:left="733" w:right="764" w:firstLine="0"/>
                      <w:jc w:val="center"/>
                      <w:rPr>
                        <w:i/>
                        <w:sz w:val="21"/>
                      </w:rPr>
                    </w:pPr>
                    <w:r>
                      <w:rPr>
                        <w:i/>
                        <w:sz w:val="21"/>
                      </w:rPr>
                      <w:t>Maharashtra National Law University Mumbai - 2nd Floor, CETTM-MTNL Building, </w:t>
                    </w:r>
                    <w:r>
                      <w:rPr>
                        <w:i/>
                        <w:sz w:val="21"/>
                      </w:rPr>
                      <w:t>Technology Street, Hiranandani Gardens, Powai (Mumbai)-400076</w:t>
                    </w:r>
                  </w:p>
                  <w:p>
                    <w:pPr>
                      <w:spacing w:line="254" w:lineRule="exact" w:before="0"/>
                      <w:ind w:left="733" w:right="764" w:firstLine="0"/>
                      <w:jc w:val="center"/>
                      <w:rPr>
                        <w:b/>
                        <w:i/>
                        <w:sz w:val="21"/>
                      </w:rPr>
                    </w:pPr>
                    <w:r>
                      <w:rPr>
                        <w:b/>
                        <w:i/>
                        <w:sz w:val="21"/>
                      </w:rPr>
                      <w:t>How to reach</w:t>
                    </w:r>
                  </w:p>
                  <w:p>
                    <w:pPr>
                      <w:spacing w:line="240" w:lineRule="auto" w:before="4"/>
                      <w:ind w:left="318" w:right="345" w:firstLine="44"/>
                      <w:jc w:val="center"/>
                      <w:rPr>
                        <w:i/>
                        <w:sz w:val="21"/>
                      </w:rPr>
                    </w:pPr>
                    <w:r>
                      <w:rPr>
                        <w:i/>
                        <w:sz w:val="21"/>
                      </w:rPr>
                      <w:t>Mumbai offers different modes of travel- local train, bus, auto and taxis. The venue of the </w:t>
                    </w:r>
                    <w:r>
                      <w:rPr>
                        <w:i/>
                        <w:sz w:val="21"/>
                      </w:rPr>
                      <w:t>conference is forty-five minutes away from the Mumbai Airport and one hour from the Mumbai Central Railway station. Nearest Local Station is Vikhroli. Auto and Cab services are available to travel within the city.</w:t>
                    </w:r>
                  </w:p>
                </w:txbxContent>
              </v:textbox>
              <w10:wrap type="none"/>
            </v:shape>
            <w10:wrap type="topAndBottom"/>
          </v:group>
        </w:pict>
      </w:r>
    </w:p>
    <w:sectPr>
      <w:type w:val="continuous"/>
      <w:pgSz w:w="12240" w:h="18720"/>
      <w:pgMar w:top="0" w:bottom="280" w:left="76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lowerRoman"/>
      <w:lvlText w:val="%1."/>
      <w:lvlJc w:val="left"/>
      <w:pPr>
        <w:ind w:left="1185" w:hanging="240"/>
        <w:jc w:val="right"/>
      </w:pPr>
      <w:rPr>
        <w:rFonts w:hint="default" w:ascii="Calibri" w:hAnsi="Calibri" w:eastAsia="Calibri" w:cs="Calibri"/>
        <w:spacing w:val="-7"/>
        <w:w w:val="100"/>
        <w:sz w:val="20"/>
        <w:szCs w:val="20"/>
        <w:lang w:val="en-US" w:eastAsia="en-US" w:bidi="en-US"/>
      </w:rPr>
    </w:lvl>
    <w:lvl w:ilvl="1">
      <w:start w:val="0"/>
      <w:numFmt w:val="bullet"/>
      <w:lvlText w:val="•"/>
      <w:lvlJc w:val="left"/>
      <w:pPr>
        <w:ind w:left="1486" w:hanging="240"/>
      </w:pPr>
      <w:rPr>
        <w:rFonts w:hint="default"/>
        <w:lang w:val="en-US" w:eastAsia="en-US" w:bidi="en-US"/>
      </w:rPr>
    </w:lvl>
    <w:lvl w:ilvl="2">
      <w:start w:val="0"/>
      <w:numFmt w:val="bullet"/>
      <w:lvlText w:val="•"/>
      <w:lvlJc w:val="left"/>
      <w:pPr>
        <w:ind w:left="1792" w:hanging="240"/>
      </w:pPr>
      <w:rPr>
        <w:rFonts w:hint="default"/>
        <w:lang w:val="en-US" w:eastAsia="en-US" w:bidi="en-US"/>
      </w:rPr>
    </w:lvl>
    <w:lvl w:ilvl="3">
      <w:start w:val="0"/>
      <w:numFmt w:val="bullet"/>
      <w:lvlText w:val="•"/>
      <w:lvlJc w:val="left"/>
      <w:pPr>
        <w:ind w:left="2098" w:hanging="240"/>
      </w:pPr>
      <w:rPr>
        <w:rFonts w:hint="default"/>
        <w:lang w:val="en-US" w:eastAsia="en-US" w:bidi="en-US"/>
      </w:rPr>
    </w:lvl>
    <w:lvl w:ilvl="4">
      <w:start w:val="0"/>
      <w:numFmt w:val="bullet"/>
      <w:lvlText w:val="•"/>
      <w:lvlJc w:val="left"/>
      <w:pPr>
        <w:ind w:left="2404" w:hanging="240"/>
      </w:pPr>
      <w:rPr>
        <w:rFonts w:hint="default"/>
        <w:lang w:val="en-US" w:eastAsia="en-US" w:bidi="en-US"/>
      </w:rPr>
    </w:lvl>
    <w:lvl w:ilvl="5">
      <w:start w:val="0"/>
      <w:numFmt w:val="bullet"/>
      <w:lvlText w:val="•"/>
      <w:lvlJc w:val="left"/>
      <w:pPr>
        <w:ind w:left="2711" w:hanging="240"/>
      </w:pPr>
      <w:rPr>
        <w:rFonts w:hint="default"/>
        <w:lang w:val="en-US" w:eastAsia="en-US" w:bidi="en-US"/>
      </w:rPr>
    </w:lvl>
    <w:lvl w:ilvl="6">
      <w:start w:val="0"/>
      <w:numFmt w:val="bullet"/>
      <w:lvlText w:val="•"/>
      <w:lvlJc w:val="left"/>
      <w:pPr>
        <w:ind w:left="3017" w:hanging="240"/>
      </w:pPr>
      <w:rPr>
        <w:rFonts w:hint="default"/>
        <w:lang w:val="en-US" w:eastAsia="en-US" w:bidi="en-US"/>
      </w:rPr>
    </w:lvl>
    <w:lvl w:ilvl="7">
      <w:start w:val="0"/>
      <w:numFmt w:val="bullet"/>
      <w:lvlText w:val="•"/>
      <w:lvlJc w:val="left"/>
      <w:pPr>
        <w:ind w:left="3323" w:hanging="240"/>
      </w:pPr>
      <w:rPr>
        <w:rFonts w:hint="default"/>
        <w:lang w:val="en-US" w:eastAsia="en-US" w:bidi="en-US"/>
      </w:rPr>
    </w:lvl>
    <w:lvl w:ilvl="8">
      <w:start w:val="0"/>
      <w:numFmt w:val="bullet"/>
      <w:lvlText w:val="•"/>
      <w:lvlJc w:val="left"/>
      <w:pPr>
        <w:ind w:left="3629" w:hanging="240"/>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en-US"/>
    </w:rPr>
  </w:style>
  <w:style w:styleId="BodyText" w:type="paragraph">
    <w:name w:val="Body Text"/>
    <w:basedOn w:val="Normal"/>
    <w:uiPriority w:val="1"/>
    <w:qFormat/>
    <w:pPr/>
    <w:rPr>
      <w:rFonts w:ascii="Calibri" w:hAnsi="Calibri" w:eastAsia="Calibri" w:cs="Calibri"/>
      <w:sz w:val="18"/>
      <w:szCs w:val="18"/>
      <w:lang w:val="en-US" w:eastAsia="en-US" w:bidi="en-US"/>
    </w:rPr>
  </w:style>
  <w:style w:styleId="Heading1" w:type="paragraph">
    <w:name w:val="Heading 1"/>
    <w:basedOn w:val="Normal"/>
    <w:uiPriority w:val="1"/>
    <w:qFormat/>
    <w:pPr>
      <w:spacing w:before="27"/>
      <w:ind w:left="1680" w:right="1680"/>
      <w:jc w:val="center"/>
      <w:outlineLvl w:val="1"/>
    </w:pPr>
    <w:rPr>
      <w:rFonts w:ascii="Calibri" w:hAnsi="Calibri" w:eastAsia="Calibri" w:cs="Calibri"/>
      <w:b/>
      <w:bCs/>
      <w:sz w:val="26"/>
      <w:szCs w:val="26"/>
      <w:lang w:val="en-US" w:eastAsia="en-US" w:bidi="en-US"/>
    </w:rPr>
  </w:style>
  <w:style w:styleId="Heading2" w:type="paragraph">
    <w:name w:val="Heading 2"/>
    <w:basedOn w:val="Normal"/>
    <w:uiPriority w:val="1"/>
    <w:qFormat/>
    <w:pPr>
      <w:spacing w:before="100"/>
      <w:ind w:left="977" w:right="1680"/>
      <w:jc w:val="center"/>
      <w:outlineLvl w:val="2"/>
    </w:pPr>
    <w:rPr>
      <w:rFonts w:ascii="Calibri" w:hAnsi="Calibri" w:eastAsia="Calibri" w:cs="Calibri"/>
      <w:b/>
      <w:bCs/>
      <w:sz w:val="24"/>
      <w:szCs w:val="24"/>
      <w:lang w:val="en-US" w:eastAsia="en-US" w:bidi="en-US"/>
    </w:rPr>
  </w:style>
  <w:style w:styleId="Heading3" w:type="paragraph">
    <w:name w:val="Heading 3"/>
    <w:basedOn w:val="Normal"/>
    <w:uiPriority w:val="1"/>
    <w:qFormat/>
    <w:pPr>
      <w:spacing w:before="161"/>
      <w:ind w:left="170"/>
      <w:outlineLvl w:val="3"/>
    </w:pPr>
    <w:rPr>
      <w:rFonts w:ascii="Calibri" w:hAnsi="Calibri" w:eastAsia="Calibri" w:cs="Calibri"/>
      <w:b/>
      <w:bCs/>
      <w:sz w:val="20"/>
      <w:szCs w:val="20"/>
      <w:lang w:val="en-US" w:eastAsia="en-US" w:bidi="en-US"/>
    </w:rPr>
  </w:style>
  <w:style w:styleId="ListParagraph" w:type="paragraph">
    <w:name w:val="List Paragraph"/>
    <w:basedOn w:val="Normal"/>
    <w:uiPriority w:val="1"/>
    <w:qFormat/>
    <w:pPr>
      <w:ind w:left="1185" w:right="115" w:hanging="330"/>
    </w:pPr>
    <w:rPr>
      <w:rFonts w:ascii="Calibri" w:hAnsi="Calibri" w:eastAsia="Calibri" w:cs="Calibri"/>
      <w:lang w:val="en-US" w:eastAsia="en-US" w:bidi="en-US"/>
    </w:rPr>
  </w:style>
  <w:style w:styleId="TableParagraph" w:type="paragraph">
    <w:name w:val="Table Paragraph"/>
    <w:basedOn w:val="Normal"/>
    <w:uiPriority w:val="1"/>
    <w:qFormat/>
    <w:pPr>
      <w:ind w:left="110"/>
    </w:pPr>
    <w:rPr>
      <w:rFonts w:ascii="Calibri" w:hAnsi="Calibri" w:eastAsia="Calibri" w:cs="Calibri"/>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yperlink" Target="mailto:crcjmnlu@gmail.com" TargetMode="External"/><Relationship Id="rId8" Type="http://schemas.openxmlformats.org/officeDocument/2006/relationships/image" Target="media/image3.png"/><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Rahul Pawar</dc:creator>
  <dcterms:created xsi:type="dcterms:W3CDTF">2019-03-27T09:13:06Z</dcterms:created>
  <dcterms:modified xsi:type="dcterms:W3CDTF">2019-03-27T09:13:06Z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2019-03-23T00:00:00Z</vt:filetime>
  </property>
  <property fmtid="{D5CDD505-2E9C-101B-9397-08002B2CF9AE}" pid="3" name="Creator">
    <vt:lpwstr>Microsoft Word</vt:lpwstr>
  </property>
  <property fmtid="{D5CDD505-2E9C-101B-9397-08002B2CF9AE}" pid="4" name="LastSaved">
    <vt:filetime>2019-03-27T00:00:00Z</vt:filetime>
  </property>
</Properties>
</file>